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3A9E9">
      <w:pPr>
        <w:rPr>
          <w:rFonts w:ascii="Arial" w:hAnsi="Arial" w:cs="Arial"/>
        </w:rPr>
      </w:pPr>
    </w:p>
    <w:p w14:paraId="09B07299">
      <w:pPr>
        <w:spacing w:line="480" w:lineRule="exact"/>
        <w:ind w:firstLine="880"/>
        <w:jc w:val="center"/>
        <w:rPr>
          <w:rFonts w:ascii="Arial" w:hAnsi="Arial" w:eastAsia="楷体_GB2312" w:cs="Arial"/>
          <w:sz w:val="44"/>
        </w:rPr>
      </w:pPr>
    </w:p>
    <w:p w14:paraId="217817BC">
      <w:pPr>
        <w:spacing w:line="480" w:lineRule="exact"/>
        <w:ind w:firstLine="880"/>
        <w:jc w:val="center"/>
        <w:rPr>
          <w:rFonts w:ascii="Arial" w:hAnsi="Arial" w:eastAsia="楷体_GB2312" w:cs="Arial"/>
          <w:sz w:val="44"/>
        </w:rPr>
      </w:pPr>
    </w:p>
    <w:p w14:paraId="1567BC7C">
      <w:pPr>
        <w:spacing w:line="480" w:lineRule="exact"/>
        <w:ind w:firstLine="880"/>
        <w:jc w:val="center"/>
        <w:rPr>
          <w:rFonts w:ascii="Arial" w:hAnsi="Arial" w:eastAsia="楷体_GB2312" w:cs="Arial"/>
          <w:sz w:val="44"/>
        </w:rPr>
      </w:pPr>
    </w:p>
    <w:p w14:paraId="7013D1E5">
      <w:pPr>
        <w:spacing w:line="480" w:lineRule="exact"/>
        <w:ind w:firstLine="880"/>
        <w:jc w:val="center"/>
        <w:rPr>
          <w:rFonts w:ascii="Arial" w:hAnsi="Arial" w:eastAsia="楷体_GB2312" w:cs="Arial"/>
          <w:sz w:val="44"/>
        </w:rPr>
      </w:pPr>
    </w:p>
    <w:p w14:paraId="71624632">
      <w:pPr>
        <w:spacing w:line="480" w:lineRule="exact"/>
        <w:ind w:firstLine="880"/>
        <w:jc w:val="center"/>
        <w:rPr>
          <w:rFonts w:ascii="Arial" w:hAnsi="Arial" w:eastAsia="楷体_GB2312" w:cs="Arial"/>
          <w:sz w:val="44"/>
        </w:rPr>
      </w:pPr>
    </w:p>
    <w:p w14:paraId="79B30290">
      <w:pPr>
        <w:spacing w:before="120" w:line="360" w:lineRule="auto"/>
        <w:jc w:val="center"/>
        <w:rPr>
          <w:rFonts w:ascii="Arial" w:hAnsi="Arial" w:eastAsia="楷体_GB2312" w:cs="Arial"/>
          <w:b/>
          <w:sz w:val="72"/>
          <w:szCs w:val="100"/>
        </w:rPr>
      </w:pPr>
      <w:r>
        <w:rPr>
          <w:rFonts w:hint="eastAsia" w:ascii="Arial" w:hAnsi="Arial" w:eastAsia="楷体_GB2312" w:cs="Arial"/>
          <w:b/>
          <w:sz w:val="72"/>
          <w:szCs w:val="100"/>
        </w:rPr>
        <w:t>大同市氢能产业发展规划</w:t>
      </w:r>
      <w:r>
        <w:rPr>
          <w:rFonts w:ascii="Times New Roman" w:hAnsi="Times New Roman" w:eastAsia="楷体_GB2312" w:cs="Times New Roman"/>
          <w:b/>
          <w:sz w:val="72"/>
          <w:szCs w:val="100"/>
        </w:rPr>
        <w:t>（2020-2030</w:t>
      </w:r>
      <w:r>
        <w:rPr>
          <w:rFonts w:hint="eastAsia" w:ascii="Times New Roman" w:hAnsi="Times New Roman" w:eastAsia="楷体_GB2312" w:cs="Times New Roman"/>
          <w:b/>
          <w:sz w:val="72"/>
          <w:szCs w:val="100"/>
        </w:rPr>
        <w:t>年</w:t>
      </w:r>
      <w:r>
        <w:rPr>
          <w:rFonts w:ascii="Times New Roman" w:hAnsi="Times New Roman" w:eastAsia="楷体_GB2312" w:cs="Times New Roman"/>
          <w:b/>
          <w:sz w:val="72"/>
          <w:szCs w:val="100"/>
        </w:rPr>
        <w:t>）</w:t>
      </w:r>
    </w:p>
    <w:p w14:paraId="4229E073">
      <w:pPr>
        <w:spacing w:line="480" w:lineRule="exact"/>
        <w:rPr>
          <w:rFonts w:ascii="Arial" w:hAnsi="Arial" w:eastAsia="楷体_GB2312" w:cs="Arial"/>
          <w:sz w:val="44"/>
        </w:rPr>
      </w:pPr>
    </w:p>
    <w:p w14:paraId="48EC7369">
      <w:pPr>
        <w:spacing w:line="360" w:lineRule="auto"/>
        <w:ind w:firstLine="643"/>
        <w:jc w:val="center"/>
        <w:rPr>
          <w:rFonts w:ascii="Arial" w:hAnsi="Arial" w:eastAsia="楷体_GB2312" w:cs="Arial"/>
          <w:b/>
          <w:sz w:val="32"/>
        </w:rPr>
        <w:sectPr>
          <w:headerReference r:id="rId3" w:type="first"/>
          <w:footerReference r:id="rId5" w:type="first"/>
          <w:footerReference r:id="rId4" w:type="default"/>
          <w:pgSz w:w="11906" w:h="16838"/>
          <w:pgMar w:top="1418" w:right="1418" w:bottom="1418" w:left="1418" w:header="851" w:footer="992" w:gutter="0"/>
          <w:pgBorders w:offsetFrom="page">
            <w:top w:val="single" w:color="1F497D" w:themeColor="text2" w:sz="12" w:space="24"/>
            <w:bottom w:val="single" w:color="1F497D" w:themeColor="text2" w:sz="12" w:space="24"/>
          </w:pgBorders>
          <w:cols w:space="425" w:num="1"/>
          <w:docGrid w:type="lines" w:linePitch="312" w:charSpace="0"/>
        </w:sectPr>
      </w:pPr>
    </w:p>
    <w:p w14:paraId="528A7311">
      <w:pPr>
        <w:spacing w:line="480" w:lineRule="exact"/>
        <w:ind w:firstLine="643"/>
        <w:jc w:val="center"/>
        <w:rPr>
          <w:rFonts w:ascii="Arial" w:hAnsi="Arial" w:eastAsia="楷体_GB2312" w:cs="Arial"/>
          <w:b/>
          <w:sz w:val="32"/>
        </w:rPr>
        <w:sectPr>
          <w:headerReference r:id="rId6" w:type="default"/>
          <w:footerReference r:id="rId7" w:type="default"/>
          <w:pgSz w:w="11906" w:h="16838"/>
          <w:pgMar w:top="1418" w:right="1418" w:bottom="1418" w:left="1418" w:header="720" w:footer="720" w:gutter="0"/>
          <w:pgBorders w:offsetFrom="page">
            <w:top w:val="single" w:color="1F497D" w:themeColor="text2" w:sz="12" w:space="24"/>
            <w:bottom w:val="single" w:color="1F497D" w:themeColor="text2" w:sz="12" w:space="24"/>
          </w:pgBorders>
          <w:pgNumType w:start="1"/>
          <w:cols w:space="720" w:num="1"/>
          <w:docGrid w:type="lines" w:linePitch="312" w:charSpace="0"/>
        </w:sectPr>
      </w:pPr>
    </w:p>
    <w:sdt>
      <w:sdtPr>
        <w:rPr>
          <w:rFonts w:asciiTheme="minorHAnsi" w:hAnsiTheme="minorHAnsi" w:eastAsiaTheme="minorEastAsia" w:cstheme="minorBidi"/>
          <w:b w:val="0"/>
          <w:bCs w:val="0"/>
          <w:color w:val="auto"/>
          <w:spacing w:val="0"/>
          <w:kern w:val="2"/>
          <w:sz w:val="21"/>
          <w:szCs w:val="22"/>
          <w:lang w:val="zh-CN"/>
        </w:rPr>
        <w:id w:val="264177976"/>
        <w:docPartObj>
          <w:docPartGallery w:val="Table of Contents"/>
          <w:docPartUnique/>
        </w:docPartObj>
      </w:sdtPr>
      <w:sdtEndPr>
        <w:rPr>
          <w:rFonts w:asciiTheme="minorHAnsi" w:hAnsiTheme="minorHAnsi" w:eastAsiaTheme="minorEastAsia" w:cstheme="minorBidi"/>
          <w:b w:val="0"/>
          <w:bCs w:val="0"/>
          <w:color w:val="auto"/>
          <w:spacing w:val="0"/>
          <w:kern w:val="2"/>
          <w:sz w:val="21"/>
          <w:szCs w:val="22"/>
          <w:lang w:val="en-US"/>
        </w:rPr>
      </w:sdtEndPr>
      <w:sdtContent>
        <w:p w14:paraId="76F82AC6">
          <w:pPr>
            <w:pStyle w:val="488"/>
            <w:rPr>
              <w:rFonts w:ascii="Times New Roman" w:hAnsi="Times New Roman"/>
            </w:rPr>
          </w:pPr>
          <w:r>
            <w:rPr>
              <w:rStyle w:val="71"/>
              <w:rFonts w:ascii="Times New Roman" w:hAnsi="Times New Roman" w:eastAsia="楷体_GB2312"/>
              <w:caps/>
              <w:color w:val="auto"/>
              <w:kern w:val="2"/>
              <w:sz w:val="36"/>
              <w:szCs w:val="36"/>
              <w:u w:val="none"/>
            </w:rPr>
            <w:t>目录</w:t>
          </w:r>
        </w:p>
        <w:p w14:paraId="7FD963DE">
          <w:pPr>
            <w:pStyle w:val="43"/>
            <w:rPr>
              <w:rFonts w:asciiTheme="minorHAnsi" w:hAnsiTheme="minorHAnsi" w:eastAsiaTheme="minorEastAsia" w:cstheme="minorBidi"/>
              <w:b w:val="0"/>
              <w:bCs w:val="0"/>
              <w:caps w:val="0"/>
              <w:sz w:val="21"/>
              <w:szCs w:val="22"/>
            </w:rPr>
          </w:pPr>
          <w:r>
            <w:fldChar w:fldCharType="begin"/>
          </w:r>
          <w:r>
            <w:instrText xml:space="preserve"> TOC \o "1-2" \h \z \u </w:instrText>
          </w:r>
          <w:r>
            <w:fldChar w:fldCharType="separate"/>
          </w:r>
          <w:r>
            <w:fldChar w:fldCharType="begin"/>
          </w:r>
          <w:r>
            <w:instrText xml:space="preserve"> HYPERLINK \l "_Toc52377946" </w:instrText>
          </w:r>
          <w:r>
            <w:fldChar w:fldCharType="separate"/>
          </w:r>
          <w:r>
            <w:rPr>
              <w:rStyle w:val="71"/>
            </w:rPr>
            <w:t>第一章 氢能产业发展现状及对大同市的意义</w:t>
          </w:r>
          <w:r>
            <w:tab/>
          </w:r>
          <w:r>
            <w:fldChar w:fldCharType="begin"/>
          </w:r>
          <w:r>
            <w:instrText xml:space="preserve"> PAGEREF _Toc52377946 \h </w:instrText>
          </w:r>
          <w:r>
            <w:fldChar w:fldCharType="separate"/>
          </w:r>
          <w:r>
            <w:t>3</w:t>
          </w:r>
          <w:r>
            <w:fldChar w:fldCharType="end"/>
          </w:r>
          <w:r>
            <w:fldChar w:fldCharType="end"/>
          </w:r>
        </w:p>
        <w:p w14:paraId="55D58FE3">
          <w:pPr>
            <w:pStyle w:val="51"/>
            <w:rPr>
              <w:rFonts w:asciiTheme="minorHAnsi" w:hAnsiTheme="minorHAnsi" w:eastAsiaTheme="minorEastAsia" w:cstheme="minorBidi"/>
              <w:bCs w:val="0"/>
              <w:caps w:val="0"/>
              <w:sz w:val="21"/>
              <w:szCs w:val="22"/>
            </w:rPr>
          </w:pPr>
          <w:r>
            <w:fldChar w:fldCharType="begin"/>
          </w:r>
          <w:r>
            <w:instrText xml:space="preserve"> HYPERLINK \l "_Toc52377947" </w:instrText>
          </w:r>
          <w:r>
            <w:fldChar w:fldCharType="separate"/>
          </w:r>
          <w:r>
            <w:rPr>
              <w:rStyle w:val="71"/>
            </w:rPr>
            <w:t>1.1 全球氢能产业发展现状</w:t>
          </w:r>
          <w:r>
            <w:tab/>
          </w:r>
          <w:r>
            <w:fldChar w:fldCharType="begin"/>
          </w:r>
          <w:r>
            <w:instrText xml:space="preserve"> PAGEREF _Toc52377947 \h </w:instrText>
          </w:r>
          <w:r>
            <w:fldChar w:fldCharType="separate"/>
          </w:r>
          <w:r>
            <w:t>3</w:t>
          </w:r>
          <w:r>
            <w:fldChar w:fldCharType="end"/>
          </w:r>
          <w:r>
            <w:fldChar w:fldCharType="end"/>
          </w:r>
        </w:p>
        <w:p w14:paraId="44EF37C7">
          <w:pPr>
            <w:pStyle w:val="51"/>
            <w:rPr>
              <w:rFonts w:asciiTheme="minorHAnsi" w:hAnsiTheme="minorHAnsi" w:eastAsiaTheme="minorEastAsia" w:cstheme="minorBidi"/>
              <w:bCs w:val="0"/>
              <w:caps w:val="0"/>
              <w:sz w:val="21"/>
              <w:szCs w:val="22"/>
            </w:rPr>
          </w:pPr>
          <w:r>
            <w:fldChar w:fldCharType="begin"/>
          </w:r>
          <w:r>
            <w:instrText xml:space="preserve"> HYPERLINK \l "_Toc52377948" </w:instrText>
          </w:r>
          <w:r>
            <w:fldChar w:fldCharType="separate"/>
          </w:r>
          <w:r>
            <w:rPr>
              <w:rStyle w:val="71"/>
            </w:rPr>
            <w:t>1.2 中国氢能源产业发展的现状</w:t>
          </w:r>
          <w:r>
            <w:tab/>
          </w:r>
          <w:r>
            <w:fldChar w:fldCharType="begin"/>
          </w:r>
          <w:r>
            <w:instrText xml:space="preserve"> PAGEREF _Toc52377948 \h </w:instrText>
          </w:r>
          <w:r>
            <w:fldChar w:fldCharType="separate"/>
          </w:r>
          <w:r>
            <w:t>4</w:t>
          </w:r>
          <w:r>
            <w:fldChar w:fldCharType="end"/>
          </w:r>
          <w:r>
            <w:fldChar w:fldCharType="end"/>
          </w:r>
        </w:p>
        <w:p w14:paraId="2AD0C94A">
          <w:pPr>
            <w:pStyle w:val="51"/>
            <w:rPr>
              <w:rFonts w:asciiTheme="minorHAnsi" w:hAnsiTheme="minorHAnsi" w:eastAsiaTheme="minorEastAsia" w:cstheme="minorBidi"/>
              <w:bCs w:val="0"/>
              <w:caps w:val="0"/>
              <w:sz w:val="21"/>
              <w:szCs w:val="22"/>
            </w:rPr>
          </w:pPr>
          <w:r>
            <w:fldChar w:fldCharType="begin"/>
          </w:r>
          <w:r>
            <w:instrText xml:space="preserve"> HYPERLINK \l "_Toc52377949" </w:instrText>
          </w:r>
          <w:r>
            <w:fldChar w:fldCharType="separate"/>
          </w:r>
          <w:r>
            <w:rPr>
              <w:rStyle w:val="71"/>
            </w:rPr>
            <w:t>1.3 大同市发展氢能产业的必要性</w:t>
          </w:r>
          <w:r>
            <w:tab/>
          </w:r>
          <w:r>
            <w:fldChar w:fldCharType="begin"/>
          </w:r>
          <w:r>
            <w:instrText xml:space="preserve"> PAGEREF _Toc52377949 \h </w:instrText>
          </w:r>
          <w:r>
            <w:fldChar w:fldCharType="separate"/>
          </w:r>
          <w:r>
            <w:t>7</w:t>
          </w:r>
          <w:r>
            <w:fldChar w:fldCharType="end"/>
          </w:r>
          <w:r>
            <w:fldChar w:fldCharType="end"/>
          </w:r>
        </w:p>
        <w:p w14:paraId="5BFFFEA4">
          <w:pPr>
            <w:pStyle w:val="43"/>
            <w:rPr>
              <w:rFonts w:asciiTheme="minorHAnsi" w:hAnsiTheme="minorHAnsi" w:eastAsiaTheme="minorEastAsia" w:cstheme="minorBidi"/>
              <w:b w:val="0"/>
              <w:bCs w:val="0"/>
              <w:caps w:val="0"/>
              <w:sz w:val="21"/>
              <w:szCs w:val="22"/>
            </w:rPr>
          </w:pPr>
          <w:r>
            <w:fldChar w:fldCharType="begin"/>
          </w:r>
          <w:r>
            <w:instrText xml:space="preserve"> HYPERLINK \l "_Toc52377950" </w:instrText>
          </w:r>
          <w:r>
            <w:fldChar w:fldCharType="separate"/>
          </w:r>
          <w:r>
            <w:rPr>
              <w:rStyle w:val="71"/>
            </w:rPr>
            <w:t>第二章 大同市氢能产业现状及优势分析</w:t>
          </w:r>
          <w:r>
            <w:tab/>
          </w:r>
          <w:r>
            <w:fldChar w:fldCharType="begin"/>
          </w:r>
          <w:r>
            <w:instrText xml:space="preserve"> PAGEREF _Toc52377950 \h </w:instrText>
          </w:r>
          <w:r>
            <w:fldChar w:fldCharType="separate"/>
          </w:r>
          <w:r>
            <w:t>13</w:t>
          </w:r>
          <w:r>
            <w:fldChar w:fldCharType="end"/>
          </w:r>
          <w:r>
            <w:fldChar w:fldCharType="end"/>
          </w:r>
        </w:p>
        <w:p w14:paraId="0A7BE588">
          <w:pPr>
            <w:pStyle w:val="51"/>
            <w:rPr>
              <w:rFonts w:asciiTheme="minorHAnsi" w:hAnsiTheme="minorHAnsi" w:eastAsiaTheme="minorEastAsia" w:cstheme="minorBidi"/>
              <w:bCs w:val="0"/>
              <w:caps w:val="0"/>
              <w:sz w:val="21"/>
              <w:szCs w:val="22"/>
            </w:rPr>
          </w:pPr>
          <w:r>
            <w:fldChar w:fldCharType="begin"/>
          </w:r>
          <w:r>
            <w:instrText xml:space="preserve"> HYPERLINK \l "_Toc52377951" </w:instrText>
          </w:r>
          <w:r>
            <w:fldChar w:fldCharType="separate"/>
          </w:r>
          <w:r>
            <w:rPr>
              <w:rStyle w:val="71"/>
              <w:rFonts w:ascii="Times New Roman" w:hAnsi="Times New Roman" w:cs="Times New Roman"/>
              <w:b/>
              <w:spacing w:val="10"/>
              <w:kern w:val="28"/>
            </w:rPr>
            <w:t>2.1 大同市能源结构现状及优势</w:t>
          </w:r>
          <w:r>
            <w:tab/>
          </w:r>
          <w:r>
            <w:fldChar w:fldCharType="begin"/>
          </w:r>
          <w:r>
            <w:instrText xml:space="preserve"> PAGEREF _Toc52377951 \h </w:instrText>
          </w:r>
          <w:r>
            <w:fldChar w:fldCharType="separate"/>
          </w:r>
          <w:r>
            <w:t>13</w:t>
          </w:r>
          <w:r>
            <w:fldChar w:fldCharType="end"/>
          </w:r>
          <w:r>
            <w:fldChar w:fldCharType="end"/>
          </w:r>
        </w:p>
        <w:p w14:paraId="31AE9459">
          <w:pPr>
            <w:pStyle w:val="51"/>
            <w:rPr>
              <w:rFonts w:asciiTheme="minorHAnsi" w:hAnsiTheme="minorHAnsi" w:eastAsiaTheme="minorEastAsia" w:cstheme="minorBidi"/>
              <w:bCs w:val="0"/>
              <w:caps w:val="0"/>
              <w:sz w:val="21"/>
              <w:szCs w:val="22"/>
            </w:rPr>
          </w:pPr>
          <w:r>
            <w:fldChar w:fldCharType="begin"/>
          </w:r>
          <w:r>
            <w:instrText xml:space="preserve"> HYPERLINK \l "_Toc52377952" </w:instrText>
          </w:r>
          <w:r>
            <w:fldChar w:fldCharType="separate"/>
          </w:r>
          <w:r>
            <w:rPr>
              <w:rStyle w:val="71"/>
            </w:rPr>
            <w:t>2.2 大同市产业现状及优势</w:t>
          </w:r>
          <w:r>
            <w:tab/>
          </w:r>
          <w:r>
            <w:fldChar w:fldCharType="begin"/>
          </w:r>
          <w:r>
            <w:instrText xml:space="preserve"> PAGEREF _Toc52377952 \h </w:instrText>
          </w:r>
          <w:r>
            <w:fldChar w:fldCharType="separate"/>
          </w:r>
          <w:r>
            <w:t>14</w:t>
          </w:r>
          <w:r>
            <w:fldChar w:fldCharType="end"/>
          </w:r>
          <w:r>
            <w:fldChar w:fldCharType="end"/>
          </w:r>
        </w:p>
        <w:p w14:paraId="4E541CE2">
          <w:pPr>
            <w:pStyle w:val="51"/>
            <w:rPr>
              <w:rFonts w:asciiTheme="minorHAnsi" w:hAnsiTheme="minorHAnsi" w:eastAsiaTheme="minorEastAsia" w:cstheme="minorBidi"/>
              <w:bCs w:val="0"/>
              <w:caps w:val="0"/>
              <w:sz w:val="21"/>
              <w:szCs w:val="22"/>
            </w:rPr>
          </w:pPr>
          <w:r>
            <w:fldChar w:fldCharType="begin"/>
          </w:r>
          <w:r>
            <w:instrText xml:space="preserve"> HYPERLINK \l "_Toc52377953" </w:instrText>
          </w:r>
          <w:r>
            <w:fldChar w:fldCharType="separate"/>
          </w:r>
          <w:r>
            <w:rPr>
              <w:rStyle w:val="71"/>
            </w:rPr>
            <w:t>2.3 大同市政策现状及优势</w:t>
          </w:r>
          <w:r>
            <w:tab/>
          </w:r>
          <w:r>
            <w:fldChar w:fldCharType="begin"/>
          </w:r>
          <w:r>
            <w:instrText xml:space="preserve"> PAGEREF _Toc52377953 \h </w:instrText>
          </w:r>
          <w:r>
            <w:fldChar w:fldCharType="separate"/>
          </w:r>
          <w:r>
            <w:t>16</w:t>
          </w:r>
          <w:r>
            <w:fldChar w:fldCharType="end"/>
          </w:r>
          <w:r>
            <w:fldChar w:fldCharType="end"/>
          </w:r>
        </w:p>
        <w:p w14:paraId="3E2E186C">
          <w:pPr>
            <w:pStyle w:val="51"/>
            <w:rPr>
              <w:rFonts w:asciiTheme="minorHAnsi" w:hAnsiTheme="minorHAnsi" w:eastAsiaTheme="minorEastAsia" w:cstheme="minorBidi"/>
              <w:bCs w:val="0"/>
              <w:caps w:val="0"/>
              <w:sz w:val="21"/>
              <w:szCs w:val="22"/>
            </w:rPr>
          </w:pPr>
          <w:r>
            <w:fldChar w:fldCharType="begin"/>
          </w:r>
          <w:r>
            <w:instrText xml:space="preserve"> HYPERLINK \l "_Toc52377954" </w:instrText>
          </w:r>
          <w:r>
            <w:fldChar w:fldCharType="separate"/>
          </w:r>
          <w:r>
            <w:rPr>
              <w:rStyle w:val="71"/>
            </w:rPr>
            <w:t>2.4 大同市氢能源发展存在的问题</w:t>
          </w:r>
          <w:r>
            <w:tab/>
          </w:r>
          <w:r>
            <w:fldChar w:fldCharType="begin"/>
          </w:r>
          <w:r>
            <w:instrText xml:space="preserve"> PAGEREF _Toc52377954 \h </w:instrText>
          </w:r>
          <w:r>
            <w:fldChar w:fldCharType="separate"/>
          </w:r>
          <w:r>
            <w:t>17</w:t>
          </w:r>
          <w:r>
            <w:fldChar w:fldCharType="end"/>
          </w:r>
          <w:r>
            <w:fldChar w:fldCharType="end"/>
          </w:r>
        </w:p>
        <w:p w14:paraId="5A2E819A">
          <w:pPr>
            <w:pStyle w:val="51"/>
            <w:rPr>
              <w:rFonts w:asciiTheme="minorHAnsi" w:hAnsiTheme="minorHAnsi" w:eastAsiaTheme="minorEastAsia" w:cstheme="minorBidi"/>
              <w:bCs w:val="0"/>
              <w:caps w:val="0"/>
              <w:sz w:val="21"/>
              <w:szCs w:val="22"/>
            </w:rPr>
          </w:pPr>
          <w:r>
            <w:fldChar w:fldCharType="begin"/>
          </w:r>
          <w:r>
            <w:instrText xml:space="preserve"> HYPERLINK \l "_Toc52377955" </w:instrText>
          </w:r>
          <w:r>
            <w:fldChar w:fldCharType="separate"/>
          </w:r>
          <w:r>
            <w:rPr>
              <w:rStyle w:val="71"/>
            </w:rPr>
            <w:t>2.5 大同市氢能产业发展方向</w:t>
          </w:r>
          <w:r>
            <w:tab/>
          </w:r>
          <w:r>
            <w:fldChar w:fldCharType="begin"/>
          </w:r>
          <w:r>
            <w:instrText xml:space="preserve"> PAGEREF _Toc52377955 \h </w:instrText>
          </w:r>
          <w:r>
            <w:fldChar w:fldCharType="separate"/>
          </w:r>
          <w:r>
            <w:t>18</w:t>
          </w:r>
          <w:r>
            <w:fldChar w:fldCharType="end"/>
          </w:r>
          <w:r>
            <w:fldChar w:fldCharType="end"/>
          </w:r>
        </w:p>
        <w:p w14:paraId="0F1E327A">
          <w:pPr>
            <w:pStyle w:val="43"/>
            <w:rPr>
              <w:rFonts w:asciiTheme="minorHAnsi" w:hAnsiTheme="minorHAnsi" w:eastAsiaTheme="minorEastAsia" w:cstheme="minorBidi"/>
              <w:b w:val="0"/>
              <w:bCs w:val="0"/>
              <w:caps w:val="0"/>
              <w:sz w:val="21"/>
              <w:szCs w:val="22"/>
            </w:rPr>
          </w:pPr>
          <w:r>
            <w:fldChar w:fldCharType="begin"/>
          </w:r>
          <w:r>
            <w:instrText xml:space="preserve"> HYPERLINK \l "_Toc52377956" </w:instrText>
          </w:r>
          <w:r>
            <w:fldChar w:fldCharType="separate"/>
          </w:r>
          <w:r>
            <w:rPr>
              <w:rStyle w:val="71"/>
            </w:rPr>
            <w:t>第三章 大同市氢能产业发展路径与目标</w:t>
          </w:r>
          <w:r>
            <w:tab/>
          </w:r>
          <w:r>
            <w:fldChar w:fldCharType="begin"/>
          </w:r>
          <w:r>
            <w:instrText xml:space="preserve"> PAGEREF _Toc52377956 \h </w:instrText>
          </w:r>
          <w:r>
            <w:fldChar w:fldCharType="separate"/>
          </w:r>
          <w:r>
            <w:t>25</w:t>
          </w:r>
          <w:r>
            <w:fldChar w:fldCharType="end"/>
          </w:r>
          <w:r>
            <w:fldChar w:fldCharType="end"/>
          </w:r>
        </w:p>
        <w:p w14:paraId="29E629F8">
          <w:pPr>
            <w:pStyle w:val="51"/>
            <w:rPr>
              <w:rFonts w:asciiTheme="minorHAnsi" w:hAnsiTheme="minorHAnsi" w:eastAsiaTheme="minorEastAsia" w:cstheme="minorBidi"/>
              <w:bCs w:val="0"/>
              <w:caps w:val="0"/>
              <w:sz w:val="21"/>
              <w:szCs w:val="22"/>
            </w:rPr>
          </w:pPr>
          <w:r>
            <w:fldChar w:fldCharType="begin"/>
          </w:r>
          <w:r>
            <w:instrText xml:space="preserve"> HYPERLINK \l "_Toc52377957" </w:instrText>
          </w:r>
          <w:r>
            <w:fldChar w:fldCharType="separate"/>
          </w:r>
          <w:r>
            <w:rPr>
              <w:rStyle w:val="71"/>
            </w:rPr>
            <w:t>3.1 指导思想</w:t>
          </w:r>
          <w:r>
            <w:tab/>
          </w:r>
          <w:r>
            <w:fldChar w:fldCharType="begin"/>
          </w:r>
          <w:r>
            <w:instrText xml:space="preserve"> PAGEREF _Toc52377957 \h </w:instrText>
          </w:r>
          <w:r>
            <w:fldChar w:fldCharType="separate"/>
          </w:r>
          <w:r>
            <w:t>25</w:t>
          </w:r>
          <w:r>
            <w:fldChar w:fldCharType="end"/>
          </w:r>
          <w:r>
            <w:fldChar w:fldCharType="end"/>
          </w:r>
        </w:p>
        <w:p w14:paraId="24AA7439">
          <w:pPr>
            <w:pStyle w:val="51"/>
            <w:rPr>
              <w:rFonts w:asciiTheme="minorHAnsi" w:hAnsiTheme="minorHAnsi" w:eastAsiaTheme="minorEastAsia" w:cstheme="minorBidi"/>
              <w:bCs w:val="0"/>
              <w:caps w:val="0"/>
              <w:sz w:val="21"/>
              <w:szCs w:val="22"/>
            </w:rPr>
          </w:pPr>
          <w:r>
            <w:fldChar w:fldCharType="begin"/>
          </w:r>
          <w:r>
            <w:instrText xml:space="preserve"> HYPERLINK \l "_Toc52377958" </w:instrText>
          </w:r>
          <w:r>
            <w:fldChar w:fldCharType="separate"/>
          </w:r>
          <w:r>
            <w:rPr>
              <w:rStyle w:val="71"/>
            </w:rPr>
            <w:t>3.2 基本原则</w:t>
          </w:r>
          <w:r>
            <w:tab/>
          </w:r>
          <w:r>
            <w:fldChar w:fldCharType="begin"/>
          </w:r>
          <w:r>
            <w:instrText xml:space="preserve"> PAGEREF _Toc52377958 \h </w:instrText>
          </w:r>
          <w:r>
            <w:fldChar w:fldCharType="separate"/>
          </w:r>
          <w:r>
            <w:t>25</w:t>
          </w:r>
          <w:r>
            <w:fldChar w:fldCharType="end"/>
          </w:r>
          <w:r>
            <w:fldChar w:fldCharType="end"/>
          </w:r>
        </w:p>
        <w:p w14:paraId="07689F52">
          <w:pPr>
            <w:pStyle w:val="51"/>
            <w:rPr>
              <w:rFonts w:asciiTheme="minorHAnsi" w:hAnsiTheme="minorHAnsi" w:eastAsiaTheme="minorEastAsia" w:cstheme="minorBidi"/>
              <w:bCs w:val="0"/>
              <w:caps w:val="0"/>
              <w:sz w:val="21"/>
              <w:szCs w:val="22"/>
            </w:rPr>
          </w:pPr>
          <w:r>
            <w:fldChar w:fldCharType="begin"/>
          </w:r>
          <w:r>
            <w:instrText xml:space="preserve"> HYPERLINK \l "_Toc52377959" </w:instrText>
          </w:r>
          <w:r>
            <w:fldChar w:fldCharType="separate"/>
          </w:r>
          <w:r>
            <w:rPr>
              <w:rStyle w:val="71"/>
            </w:rPr>
            <w:t>3.3 发展定位</w:t>
          </w:r>
          <w:r>
            <w:tab/>
          </w:r>
          <w:r>
            <w:fldChar w:fldCharType="begin"/>
          </w:r>
          <w:r>
            <w:instrText xml:space="preserve"> PAGEREF _Toc52377959 \h </w:instrText>
          </w:r>
          <w:r>
            <w:fldChar w:fldCharType="separate"/>
          </w:r>
          <w:r>
            <w:t>26</w:t>
          </w:r>
          <w:r>
            <w:fldChar w:fldCharType="end"/>
          </w:r>
          <w:r>
            <w:fldChar w:fldCharType="end"/>
          </w:r>
        </w:p>
        <w:p w14:paraId="3527273D">
          <w:pPr>
            <w:pStyle w:val="51"/>
            <w:rPr>
              <w:rFonts w:asciiTheme="minorHAnsi" w:hAnsiTheme="minorHAnsi" w:eastAsiaTheme="minorEastAsia" w:cstheme="minorBidi"/>
              <w:bCs w:val="0"/>
              <w:caps w:val="0"/>
              <w:sz w:val="21"/>
              <w:szCs w:val="22"/>
            </w:rPr>
          </w:pPr>
          <w:r>
            <w:fldChar w:fldCharType="begin"/>
          </w:r>
          <w:r>
            <w:instrText xml:space="preserve"> HYPERLINK \l "_Toc52377960" </w:instrText>
          </w:r>
          <w:r>
            <w:fldChar w:fldCharType="separate"/>
          </w:r>
          <w:r>
            <w:rPr>
              <w:rStyle w:val="71"/>
            </w:rPr>
            <w:t>3.4 发展路径</w:t>
          </w:r>
          <w:r>
            <w:tab/>
          </w:r>
          <w:r>
            <w:fldChar w:fldCharType="begin"/>
          </w:r>
          <w:r>
            <w:instrText xml:space="preserve"> PAGEREF _Toc52377960 \h </w:instrText>
          </w:r>
          <w:r>
            <w:fldChar w:fldCharType="separate"/>
          </w:r>
          <w:r>
            <w:t>27</w:t>
          </w:r>
          <w:r>
            <w:fldChar w:fldCharType="end"/>
          </w:r>
          <w:r>
            <w:fldChar w:fldCharType="end"/>
          </w:r>
        </w:p>
        <w:p w14:paraId="7342AA41">
          <w:pPr>
            <w:pStyle w:val="51"/>
            <w:rPr>
              <w:rFonts w:asciiTheme="minorHAnsi" w:hAnsiTheme="minorHAnsi" w:eastAsiaTheme="minorEastAsia" w:cstheme="minorBidi"/>
              <w:bCs w:val="0"/>
              <w:caps w:val="0"/>
              <w:sz w:val="21"/>
              <w:szCs w:val="22"/>
            </w:rPr>
          </w:pPr>
          <w:r>
            <w:fldChar w:fldCharType="begin"/>
          </w:r>
          <w:r>
            <w:instrText xml:space="preserve"> HYPERLINK \l "_Toc52377961" </w:instrText>
          </w:r>
          <w:r>
            <w:fldChar w:fldCharType="separate"/>
          </w:r>
          <w:r>
            <w:rPr>
              <w:rStyle w:val="71"/>
            </w:rPr>
            <w:t>3.5 发展目标</w:t>
          </w:r>
          <w:r>
            <w:tab/>
          </w:r>
          <w:r>
            <w:fldChar w:fldCharType="begin"/>
          </w:r>
          <w:r>
            <w:instrText xml:space="preserve"> PAGEREF _Toc52377961 \h </w:instrText>
          </w:r>
          <w:r>
            <w:fldChar w:fldCharType="separate"/>
          </w:r>
          <w:r>
            <w:t>30</w:t>
          </w:r>
          <w:r>
            <w:fldChar w:fldCharType="end"/>
          </w:r>
          <w:r>
            <w:fldChar w:fldCharType="end"/>
          </w:r>
        </w:p>
        <w:p w14:paraId="538E6ED0">
          <w:pPr>
            <w:pStyle w:val="43"/>
            <w:rPr>
              <w:rFonts w:asciiTheme="minorHAnsi" w:hAnsiTheme="minorHAnsi" w:eastAsiaTheme="minorEastAsia" w:cstheme="minorBidi"/>
              <w:b w:val="0"/>
              <w:bCs w:val="0"/>
              <w:caps w:val="0"/>
              <w:sz w:val="21"/>
              <w:szCs w:val="22"/>
            </w:rPr>
          </w:pPr>
          <w:r>
            <w:fldChar w:fldCharType="begin"/>
          </w:r>
          <w:r>
            <w:instrText xml:space="preserve"> HYPERLINK \l "_Toc52377962" </w:instrText>
          </w:r>
          <w:r>
            <w:fldChar w:fldCharType="separate"/>
          </w:r>
          <w:r>
            <w:rPr>
              <w:rStyle w:val="71"/>
            </w:rPr>
            <w:t>第四章 大同市氢能产业发展重点任务</w:t>
          </w:r>
          <w:r>
            <w:tab/>
          </w:r>
          <w:r>
            <w:fldChar w:fldCharType="begin"/>
          </w:r>
          <w:r>
            <w:instrText xml:space="preserve"> PAGEREF _Toc52377962 \h </w:instrText>
          </w:r>
          <w:r>
            <w:fldChar w:fldCharType="separate"/>
          </w:r>
          <w:r>
            <w:t>35</w:t>
          </w:r>
          <w:r>
            <w:fldChar w:fldCharType="end"/>
          </w:r>
          <w:r>
            <w:fldChar w:fldCharType="end"/>
          </w:r>
        </w:p>
        <w:p w14:paraId="690BB650">
          <w:pPr>
            <w:pStyle w:val="51"/>
            <w:rPr>
              <w:rFonts w:asciiTheme="minorHAnsi" w:hAnsiTheme="minorHAnsi" w:eastAsiaTheme="minorEastAsia" w:cstheme="minorBidi"/>
              <w:bCs w:val="0"/>
              <w:caps w:val="0"/>
              <w:sz w:val="21"/>
              <w:szCs w:val="22"/>
            </w:rPr>
          </w:pPr>
          <w:r>
            <w:fldChar w:fldCharType="begin"/>
          </w:r>
          <w:r>
            <w:instrText xml:space="preserve"> HYPERLINK \l "_Toc52377963" </w:instrText>
          </w:r>
          <w:r>
            <w:fldChar w:fldCharType="separate"/>
          </w:r>
          <w:r>
            <w:rPr>
              <w:rStyle w:val="71"/>
            </w:rPr>
            <w:t>4.1 制氢产业重点任务及关键技术</w:t>
          </w:r>
          <w:r>
            <w:tab/>
          </w:r>
          <w:r>
            <w:fldChar w:fldCharType="begin"/>
          </w:r>
          <w:r>
            <w:instrText xml:space="preserve"> PAGEREF _Toc52377963 \h </w:instrText>
          </w:r>
          <w:r>
            <w:fldChar w:fldCharType="separate"/>
          </w:r>
          <w:r>
            <w:t>35</w:t>
          </w:r>
          <w:r>
            <w:fldChar w:fldCharType="end"/>
          </w:r>
          <w:r>
            <w:fldChar w:fldCharType="end"/>
          </w:r>
        </w:p>
        <w:p w14:paraId="096E070D">
          <w:pPr>
            <w:pStyle w:val="51"/>
            <w:rPr>
              <w:rFonts w:asciiTheme="minorHAnsi" w:hAnsiTheme="minorHAnsi" w:eastAsiaTheme="minorEastAsia" w:cstheme="minorBidi"/>
              <w:bCs w:val="0"/>
              <w:caps w:val="0"/>
              <w:sz w:val="21"/>
              <w:szCs w:val="22"/>
            </w:rPr>
          </w:pPr>
          <w:r>
            <w:fldChar w:fldCharType="begin"/>
          </w:r>
          <w:r>
            <w:instrText xml:space="preserve"> HYPERLINK \l "_Toc52377964" </w:instrText>
          </w:r>
          <w:r>
            <w:fldChar w:fldCharType="separate"/>
          </w:r>
          <w:r>
            <w:rPr>
              <w:rStyle w:val="71"/>
            </w:rPr>
            <w:t>4.2 氢气储运产业重点任务及关键技术</w:t>
          </w:r>
          <w:r>
            <w:tab/>
          </w:r>
          <w:r>
            <w:fldChar w:fldCharType="begin"/>
          </w:r>
          <w:r>
            <w:instrText xml:space="preserve"> PAGEREF _Toc52377964 \h </w:instrText>
          </w:r>
          <w:r>
            <w:fldChar w:fldCharType="separate"/>
          </w:r>
          <w:r>
            <w:t>36</w:t>
          </w:r>
          <w:r>
            <w:fldChar w:fldCharType="end"/>
          </w:r>
          <w:r>
            <w:fldChar w:fldCharType="end"/>
          </w:r>
        </w:p>
        <w:p w14:paraId="0E2AE734">
          <w:pPr>
            <w:pStyle w:val="51"/>
            <w:rPr>
              <w:rFonts w:asciiTheme="minorHAnsi" w:hAnsiTheme="minorHAnsi" w:eastAsiaTheme="minorEastAsia" w:cstheme="minorBidi"/>
              <w:bCs w:val="0"/>
              <w:caps w:val="0"/>
              <w:sz w:val="21"/>
              <w:szCs w:val="22"/>
            </w:rPr>
          </w:pPr>
          <w:r>
            <w:fldChar w:fldCharType="begin"/>
          </w:r>
          <w:r>
            <w:instrText xml:space="preserve"> HYPERLINK \l "_Toc52377965" </w:instrText>
          </w:r>
          <w:r>
            <w:fldChar w:fldCharType="separate"/>
          </w:r>
          <w:r>
            <w:rPr>
              <w:rStyle w:val="71"/>
            </w:rPr>
            <w:t>4.3 加氢站产业重点任务及关键技术</w:t>
          </w:r>
          <w:r>
            <w:tab/>
          </w:r>
          <w:r>
            <w:fldChar w:fldCharType="begin"/>
          </w:r>
          <w:r>
            <w:instrText xml:space="preserve"> PAGEREF _Toc52377965 \h </w:instrText>
          </w:r>
          <w:r>
            <w:fldChar w:fldCharType="separate"/>
          </w:r>
          <w:r>
            <w:t>39</w:t>
          </w:r>
          <w:r>
            <w:fldChar w:fldCharType="end"/>
          </w:r>
          <w:r>
            <w:fldChar w:fldCharType="end"/>
          </w:r>
        </w:p>
        <w:p w14:paraId="32000B80">
          <w:pPr>
            <w:pStyle w:val="51"/>
            <w:rPr>
              <w:rFonts w:asciiTheme="minorHAnsi" w:hAnsiTheme="minorHAnsi" w:eastAsiaTheme="minorEastAsia" w:cstheme="minorBidi"/>
              <w:bCs w:val="0"/>
              <w:caps w:val="0"/>
              <w:sz w:val="21"/>
              <w:szCs w:val="22"/>
            </w:rPr>
          </w:pPr>
          <w:r>
            <w:fldChar w:fldCharType="begin"/>
          </w:r>
          <w:r>
            <w:instrText xml:space="preserve"> HYPERLINK \l "_Toc52377966" </w:instrText>
          </w:r>
          <w:r>
            <w:fldChar w:fldCharType="separate"/>
          </w:r>
          <w:r>
            <w:rPr>
              <w:rStyle w:val="71"/>
            </w:rPr>
            <w:t>4.4 氢燃料电池产业重点任务及关键技术</w:t>
          </w:r>
          <w:r>
            <w:tab/>
          </w:r>
          <w:r>
            <w:fldChar w:fldCharType="begin"/>
          </w:r>
          <w:r>
            <w:instrText xml:space="preserve"> PAGEREF _Toc52377966 \h </w:instrText>
          </w:r>
          <w:r>
            <w:fldChar w:fldCharType="separate"/>
          </w:r>
          <w:r>
            <w:t>40</w:t>
          </w:r>
          <w:r>
            <w:fldChar w:fldCharType="end"/>
          </w:r>
          <w:r>
            <w:fldChar w:fldCharType="end"/>
          </w:r>
        </w:p>
        <w:p w14:paraId="40615AFD">
          <w:pPr>
            <w:pStyle w:val="51"/>
            <w:rPr>
              <w:rFonts w:asciiTheme="minorHAnsi" w:hAnsiTheme="minorHAnsi" w:eastAsiaTheme="minorEastAsia" w:cstheme="minorBidi"/>
              <w:bCs w:val="0"/>
              <w:caps w:val="0"/>
              <w:sz w:val="21"/>
              <w:szCs w:val="22"/>
            </w:rPr>
          </w:pPr>
          <w:r>
            <w:fldChar w:fldCharType="begin"/>
          </w:r>
          <w:r>
            <w:instrText xml:space="preserve"> HYPERLINK \l "_Toc52377967" </w:instrText>
          </w:r>
          <w:r>
            <w:fldChar w:fldCharType="separate"/>
          </w:r>
          <w:r>
            <w:rPr>
              <w:rStyle w:val="71"/>
            </w:rPr>
            <w:t>4.5 氢能应用产业重点任务及关键技术</w:t>
          </w:r>
          <w:r>
            <w:tab/>
          </w:r>
          <w:r>
            <w:fldChar w:fldCharType="begin"/>
          </w:r>
          <w:r>
            <w:instrText xml:space="preserve"> PAGEREF _Toc52377967 \h </w:instrText>
          </w:r>
          <w:r>
            <w:fldChar w:fldCharType="separate"/>
          </w:r>
          <w:r>
            <w:t>41</w:t>
          </w:r>
          <w:r>
            <w:fldChar w:fldCharType="end"/>
          </w:r>
          <w:r>
            <w:fldChar w:fldCharType="end"/>
          </w:r>
        </w:p>
        <w:p w14:paraId="074A4828">
          <w:pPr>
            <w:pStyle w:val="51"/>
            <w:rPr>
              <w:rFonts w:asciiTheme="minorHAnsi" w:hAnsiTheme="minorHAnsi" w:eastAsiaTheme="minorEastAsia" w:cstheme="minorBidi"/>
              <w:bCs w:val="0"/>
              <w:caps w:val="0"/>
              <w:sz w:val="21"/>
              <w:szCs w:val="22"/>
            </w:rPr>
          </w:pPr>
          <w:r>
            <w:fldChar w:fldCharType="begin"/>
          </w:r>
          <w:r>
            <w:instrText xml:space="preserve"> HYPERLINK \l "_Toc52377968" </w:instrText>
          </w:r>
          <w:r>
            <w:fldChar w:fldCharType="separate"/>
          </w:r>
          <w:r>
            <w:rPr>
              <w:rStyle w:val="71"/>
            </w:rPr>
            <w:t>4.6 氢燃料汽车应用网络建设重点任务</w:t>
          </w:r>
          <w:r>
            <w:tab/>
          </w:r>
          <w:r>
            <w:fldChar w:fldCharType="begin"/>
          </w:r>
          <w:r>
            <w:instrText xml:space="preserve"> PAGEREF _Toc52377968 \h </w:instrText>
          </w:r>
          <w:r>
            <w:fldChar w:fldCharType="separate"/>
          </w:r>
          <w:r>
            <w:t>44</w:t>
          </w:r>
          <w:r>
            <w:fldChar w:fldCharType="end"/>
          </w:r>
          <w:r>
            <w:fldChar w:fldCharType="end"/>
          </w:r>
        </w:p>
        <w:p w14:paraId="65544164">
          <w:pPr>
            <w:pStyle w:val="43"/>
            <w:rPr>
              <w:rFonts w:asciiTheme="minorHAnsi" w:hAnsiTheme="minorHAnsi" w:eastAsiaTheme="minorEastAsia" w:cstheme="minorBidi"/>
              <w:b w:val="0"/>
              <w:bCs w:val="0"/>
              <w:caps w:val="0"/>
              <w:sz w:val="21"/>
              <w:szCs w:val="22"/>
            </w:rPr>
          </w:pPr>
          <w:r>
            <w:fldChar w:fldCharType="begin"/>
          </w:r>
          <w:r>
            <w:instrText xml:space="preserve"> HYPERLINK \l "_Toc52377969" </w:instrText>
          </w:r>
          <w:r>
            <w:fldChar w:fldCharType="separate"/>
          </w:r>
          <w:r>
            <w:rPr>
              <w:rStyle w:val="71"/>
            </w:rPr>
            <w:t>第五章 大同市氢能产业区域规划</w:t>
          </w:r>
          <w:r>
            <w:tab/>
          </w:r>
          <w:r>
            <w:fldChar w:fldCharType="begin"/>
          </w:r>
          <w:r>
            <w:instrText xml:space="preserve"> PAGEREF _Toc52377969 \h </w:instrText>
          </w:r>
          <w:r>
            <w:fldChar w:fldCharType="separate"/>
          </w:r>
          <w:r>
            <w:t>50</w:t>
          </w:r>
          <w:r>
            <w:fldChar w:fldCharType="end"/>
          </w:r>
          <w:r>
            <w:fldChar w:fldCharType="end"/>
          </w:r>
        </w:p>
        <w:p w14:paraId="01E1DBE6">
          <w:pPr>
            <w:pStyle w:val="51"/>
            <w:rPr>
              <w:rFonts w:asciiTheme="minorHAnsi" w:hAnsiTheme="minorHAnsi" w:eastAsiaTheme="minorEastAsia" w:cstheme="minorBidi"/>
              <w:bCs w:val="0"/>
              <w:caps w:val="0"/>
              <w:sz w:val="21"/>
              <w:szCs w:val="22"/>
            </w:rPr>
          </w:pPr>
          <w:r>
            <w:fldChar w:fldCharType="begin"/>
          </w:r>
          <w:r>
            <w:instrText xml:space="preserve"> HYPERLINK \l "_Toc52377970" </w:instrText>
          </w:r>
          <w:r>
            <w:fldChar w:fldCharType="separate"/>
          </w:r>
          <w:r>
            <w:rPr>
              <w:rStyle w:val="71"/>
            </w:rPr>
            <w:t>5.1 氢能源重点区域布局</w:t>
          </w:r>
          <w:r>
            <w:tab/>
          </w:r>
          <w:r>
            <w:fldChar w:fldCharType="begin"/>
          </w:r>
          <w:r>
            <w:instrText xml:space="preserve"> PAGEREF _Toc52377970 \h </w:instrText>
          </w:r>
          <w:r>
            <w:fldChar w:fldCharType="separate"/>
          </w:r>
          <w:r>
            <w:t>50</w:t>
          </w:r>
          <w:r>
            <w:fldChar w:fldCharType="end"/>
          </w:r>
          <w:r>
            <w:fldChar w:fldCharType="end"/>
          </w:r>
        </w:p>
        <w:p w14:paraId="3D71A271">
          <w:pPr>
            <w:pStyle w:val="51"/>
            <w:rPr>
              <w:rFonts w:asciiTheme="minorHAnsi" w:hAnsiTheme="minorHAnsi" w:eastAsiaTheme="minorEastAsia" w:cstheme="minorBidi"/>
              <w:bCs w:val="0"/>
              <w:caps w:val="0"/>
              <w:sz w:val="21"/>
              <w:szCs w:val="22"/>
            </w:rPr>
          </w:pPr>
          <w:r>
            <w:fldChar w:fldCharType="begin"/>
          </w:r>
          <w:r>
            <w:instrText xml:space="preserve"> HYPERLINK \l "_Toc52377971" </w:instrText>
          </w:r>
          <w:r>
            <w:fldChar w:fldCharType="separate"/>
          </w:r>
          <w:r>
            <w:rPr>
              <w:rStyle w:val="71"/>
            </w:rPr>
            <w:t>5.2 制氢基地的区域布局</w:t>
          </w:r>
          <w:r>
            <w:tab/>
          </w:r>
          <w:r>
            <w:fldChar w:fldCharType="begin"/>
          </w:r>
          <w:r>
            <w:instrText xml:space="preserve"> PAGEREF _Toc52377971 \h </w:instrText>
          </w:r>
          <w:r>
            <w:fldChar w:fldCharType="separate"/>
          </w:r>
          <w:r>
            <w:t>55</w:t>
          </w:r>
          <w:r>
            <w:fldChar w:fldCharType="end"/>
          </w:r>
          <w:r>
            <w:fldChar w:fldCharType="end"/>
          </w:r>
        </w:p>
        <w:p w14:paraId="6C47007E">
          <w:pPr>
            <w:pStyle w:val="51"/>
            <w:rPr>
              <w:rFonts w:asciiTheme="minorHAnsi" w:hAnsiTheme="minorHAnsi" w:eastAsiaTheme="minorEastAsia" w:cstheme="minorBidi"/>
              <w:bCs w:val="0"/>
              <w:caps w:val="0"/>
              <w:sz w:val="21"/>
              <w:szCs w:val="22"/>
            </w:rPr>
          </w:pPr>
          <w:r>
            <w:fldChar w:fldCharType="begin"/>
          </w:r>
          <w:r>
            <w:instrText xml:space="preserve"> HYPERLINK \l "_Toc52377972" </w:instrText>
          </w:r>
          <w:r>
            <w:fldChar w:fldCharType="separate"/>
          </w:r>
          <w:r>
            <w:rPr>
              <w:rStyle w:val="71"/>
            </w:rPr>
            <w:t>5.3 氢燃料电池生产基地布局</w:t>
          </w:r>
          <w:r>
            <w:tab/>
          </w:r>
          <w:r>
            <w:fldChar w:fldCharType="begin"/>
          </w:r>
          <w:r>
            <w:instrText xml:space="preserve"> PAGEREF _Toc52377972 \h </w:instrText>
          </w:r>
          <w:r>
            <w:fldChar w:fldCharType="separate"/>
          </w:r>
          <w:r>
            <w:t>57</w:t>
          </w:r>
          <w:r>
            <w:fldChar w:fldCharType="end"/>
          </w:r>
          <w:r>
            <w:fldChar w:fldCharType="end"/>
          </w:r>
        </w:p>
        <w:p w14:paraId="106C3184">
          <w:pPr>
            <w:pStyle w:val="51"/>
            <w:rPr>
              <w:rFonts w:asciiTheme="minorHAnsi" w:hAnsiTheme="minorHAnsi" w:eastAsiaTheme="minorEastAsia" w:cstheme="minorBidi"/>
              <w:bCs w:val="0"/>
              <w:caps w:val="0"/>
              <w:sz w:val="21"/>
              <w:szCs w:val="22"/>
            </w:rPr>
          </w:pPr>
          <w:r>
            <w:fldChar w:fldCharType="begin"/>
          </w:r>
          <w:r>
            <w:instrText xml:space="preserve"> HYPERLINK \l "_Toc52377973" </w:instrText>
          </w:r>
          <w:r>
            <w:fldChar w:fldCharType="separate"/>
          </w:r>
          <w:r>
            <w:rPr>
              <w:rStyle w:val="71"/>
            </w:rPr>
            <w:t>5.4 氢燃料汽车产业集群布局</w:t>
          </w:r>
          <w:r>
            <w:tab/>
          </w:r>
          <w:r>
            <w:fldChar w:fldCharType="begin"/>
          </w:r>
          <w:r>
            <w:instrText xml:space="preserve"> PAGEREF _Toc52377973 \h </w:instrText>
          </w:r>
          <w:r>
            <w:fldChar w:fldCharType="separate"/>
          </w:r>
          <w:r>
            <w:t>58</w:t>
          </w:r>
          <w:r>
            <w:fldChar w:fldCharType="end"/>
          </w:r>
          <w:r>
            <w:fldChar w:fldCharType="end"/>
          </w:r>
        </w:p>
        <w:p w14:paraId="10E5FD69">
          <w:pPr>
            <w:pStyle w:val="43"/>
            <w:rPr>
              <w:rFonts w:asciiTheme="minorHAnsi" w:hAnsiTheme="minorHAnsi" w:eastAsiaTheme="minorEastAsia" w:cstheme="minorBidi"/>
              <w:b w:val="0"/>
              <w:bCs w:val="0"/>
              <w:caps w:val="0"/>
              <w:sz w:val="21"/>
              <w:szCs w:val="22"/>
            </w:rPr>
          </w:pPr>
          <w:r>
            <w:fldChar w:fldCharType="begin"/>
          </w:r>
          <w:r>
            <w:instrText xml:space="preserve"> HYPERLINK \l "_Toc52377974" </w:instrText>
          </w:r>
          <w:r>
            <w:fldChar w:fldCharType="separate"/>
          </w:r>
          <w:r>
            <w:rPr>
              <w:rStyle w:val="71"/>
            </w:rPr>
            <w:t>第六章 体系建设支撑</w:t>
          </w:r>
          <w:r>
            <w:tab/>
          </w:r>
          <w:r>
            <w:fldChar w:fldCharType="begin"/>
          </w:r>
          <w:r>
            <w:instrText xml:space="preserve"> PAGEREF _Toc52377974 \h </w:instrText>
          </w:r>
          <w:r>
            <w:fldChar w:fldCharType="separate"/>
          </w:r>
          <w:r>
            <w:t>59</w:t>
          </w:r>
          <w:r>
            <w:fldChar w:fldCharType="end"/>
          </w:r>
          <w:r>
            <w:fldChar w:fldCharType="end"/>
          </w:r>
        </w:p>
        <w:p w14:paraId="0AB79A8D">
          <w:pPr>
            <w:pStyle w:val="51"/>
            <w:rPr>
              <w:rFonts w:asciiTheme="minorHAnsi" w:hAnsiTheme="minorHAnsi" w:eastAsiaTheme="minorEastAsia" w:cstheme="minorBidi"/>
              <w:bCs w:val="0"/>
              <w:caps w:val="0"/>
              <w:sz w:val="21"/>
              <w:szCs w:val="22"/>
            </w:rPr>
          </w:pPr>
          <w:r>
            <w:fldChar w:fldCharType="begin"/>
          </w:r>
          <w:r>
            <w:instrText xml:space="preserve"> HYPERLINK \l "_Toc52377975" </w:instrText>
          </w:r>
          <w:r>
            <w:fldChar w:fldCharType="separate"/>
          </w:r>
          <w:r>
            <w:rPr>
              <w:rStyle w:val="71"/>
            </w:rPr>
            <w:t>6.1 建设氢能产业技术创新体系</w:t>
          </w:r>
          <w:r>
            <w:tab/>
          </w:r>
          <w:r>
            <w:fldChar w:fldCharType="begin"/>
          </w:r>
          <w:r>
            <w:instrText xml:space="preserve"> PAGEREF _Toc52377975 \h </w:instrText>
          </w:r>
          <w:r>
            <w:fldChar w:fldCharType="separate"/>
          </w:r>
          <w:r>
            <w:t>59</w:t>
          </w:r>
          <w:r>
            <w:fldChar w:fldCharType="end"/>
          </w:r>
          <w:r>
            <w:fldChar w:fldCharType="end"/>
          </w:r>
        </w:p>
        <w:p w14:paraId="1FDE8207">
          <w:pPr>
            <w:pStyle w:val="51"/>
            <w:rPr>
              <w:rFonts w:asciiTheme="minorHAnsi" w:hAnsiTheme="minorHAnsi" w:eastAsiaTheme="minorEastAsia" w:cstheme="minorBidi"/>
              <w:bCs w:val="0"/>
              <w:caps w:val="0"/>
              <w:sz w:val="21"/>
              <w:szCs w:val="22"/>
            </w:rPr>
          </w:pPr>
          <w:r>
            <w:fldChar w:fldCharType="begin"/>
          </w:r>
          <w:r>
            <w:instrText xml:space="preserve"> HYPERLINK \l "_Toc52377976" </w:instrText>
          </w:r>
          <w:r>
            <w:fldChar w:fldCharType="separate"/>
          </w:r>
          <w:r>
            <w:rPr>
              <w:rStyle w:val="71"/>
            </w:rPr>
            <w:t>6.2 健全氢能产业统筹管理和协调发展机制</w:t>
          </w:r>
          <w:r>
            <w:tab/>
          </w:r>
          <w:r>
            <w:fldChar w:fldCharType="begin"/>
          </w:r>
          <w:r>
            <w:instrText xml:space="preserve"> PAGEREF _Toc52377976 \h </w:instrText>
          </w:r>
          <w:r>
            <w:fldChar w:fldCharType="separate"/>
          </w:r>
          <w:r>
            <w:t>59</w:t>
          </w:r>
          <w:r>
            <w:fldChar w:fldCharType="end"/>
          </w:r>
          <w:r>
            <w:fldChar w:fldCharType="end"/>
          </w:r>
        </w:p>
        <w:p w14:paraId="079C7577">
          <w:pPr>
            <w:pStyle w:val="51"/>
            <w:rPr>
              <w:rFonts w:asciiTheme="minorHAnsi" w:hAnsiTheme="minorHAnsi" w:eastAsiaTheme="minorEastAsia" w:cstheme="minorBidi"/>
              <w:bCs w:val="0"/>
              <w:caps w:val="0"/>
              <w:sz w:val="21"/>
              <w:szCs w:val="22"/>
            </w:rPr>
          </w:pPr>
          <w:r>
            <w:fldChar w:fldCharType="begin"/>
          </w:r>
          <w:r>
            <w:instrText xml:space="preserve"> HYPERLINK \l "_Toc52377977" </w:instrText>
          </w:r>
          <w:r>
            <w:fldChar w:fldCharType="separate"/>
          </w:r>
          <w:r>
            <w:rPr>
              <w:rStyle w:val="71"/>
            </w:rPr>
            <w:t>6.3 打造氢能贸易中心</w:t>
          </w:r>
          <w:r>
            <w:tab/>
          </w:r>
          <w:r>
            <w:fldChar w:fldCharType="begin"/>
          </w:r>
          <w:r>
            <w:instrText xml:space="preserve"> PAGEREF _Toc52377977 \h </w:instrText>
          </w:r>
          <w:r>
            <w:fldChar w:fldCharType="separate"/>
          </w:r>
          <w:r>
            <w:t>60</w:t>
          </w:r>
          <w:r>
            <w:fldChar w:fldCharType="end"/>
          </w:r>
          <w:r>
            <w:fldChar w:fldCharType="end"/>
          </w:r>
        </w:p>
        <w:p w14:paraId="241D9F6D">
          <w:pPr>
            <w:pStyle w:val="51"/>
            <w:rPr>
              <w:rFonts w:asciiTheme="minorHAnsi" w:hAnsiTheme="minorHAnsi" w:eastAsiaTheme="minorEastAsia" w:cstheme="minorBidi"/>
              <w:bCs w:val="0"/>
              <w:caps w:val="0"/>
              <w:sz w:val="21"/>
              <w:szCs w:val="22"/>
            </w:rPr>
          </w:pPr>
          <w:r>
            <w:fldChar w:fldCharType="begin"/>
          </w:r>
          <w:r>
            <w:instrText xml:space="preserve"> HYPERLINK \l "_Toc52377978" </w:instrText>
          </w:r>
          <w:r>
            <w:fldChar w:fldCharType="separate"/>
          </w:r>
          <w:r>
            <w:rPr>
              <w:rStyle w:val="71"/>
            </w:rPr>
            <w:t>6.4 打造氢能产业孵化平台</w:t>
          </w:r>
          <w:r>
            <w:tab/>
          </w:r>
          <w:r>
            <w:fldChar w:fldCharType="begin"/>
          </w:r>
          <w:r>
            <w:instrText xml:space="preserve"> PAGEREF _Toc52377978 \h </w:instrText>
          </w:r>
          <w:r>
            <w:fldChar w:fldCharType="separate"/>
          </w:r>
          <w:r>
            <w:t>60</w:t>
          </w:r>
          <w:r>
            <w:fldChar w:fldCharType="end"/>
          </w:r>
          <w:r>
            <w:fldChar w:fldCharType="end"/>
          </w:r>
        </w:p>
        <w:p w14:paraId="477A81AD">
          <w:pPr>
            <w:pStyle w:val="51"/>
            <w:rPr>
              <w:rFonts w:asciiTheme="minorHAnsi" w:hAnsiTheme="minorHAnsi" w:eastAsiaTheme="minorEastAsia" w:cstheme="minorBidi"/>
              <w:bCs w:val="0"/>
              <w:caps w:val="0"/>
              <w:sz w:val="21"/>
              <w:szCs w:val="22"/>
            </w:rPr>
          </w:pPr>
          <w:r>
            <w:fldChar w:fldCharType="begin"/>
          </w:r>
          <w:r>
            <w:instrText xml:space="preserve"> HYPERLINK \l "_Toc52377979" </w:instrText>
          </w:r>
          <w:r>
            <w:fldChar w:fldCharType="separate"/>
          </w:r>
          <w:r>
            <w:rPr>
              <w:rStyle w:val="71"/>
            </w:rPr>
            <w:t>6.5 畅通氢能产业关键技术和高端人才引进渠道</w:t>
          </w:r>
          <w:r>
            <w:tab/>
          </w:r>
          <w:r>
            <w:fldChar w:fldCharType="begin"/>
          </w:r>
          <w:r>
            <w:instrText xml:space="preserve"> PAGEREF _Toc52377979 \h </w:instrText>
          </w:r>
          <w:r>
            <w:fldChar w:fldCharType="separate"/>
          </w:r>
          <w:r>
            <w:t>61</w:t>
          </w:r>
          <w:r>
            <w:fldChar w:fldCharType="end"/>
          </w:r>
          <w:r>
            <w:fldChar w:fldCharType="end"/>
          </w:r>
        </w:p>
        <w:p w14:paraId="5CFAE4B0">
          <w:pPr>
            <w:pStyle w:val="51"/>
            <w:rPr>
              <w:rFonts w:asciiTheme="minorHAnsi" w:hAnsiTheme="minorHAnsi" w:eastAsiaTheme="minorEastAsia" w:cstheme="minorBidi"/>
              <w:bCs w:val="0"/>
              <w:caps w:val="0"/>
              <w:sz w:val="21"/>
              <w:szCs w:val="22"/>
            </w:rPr>
          </w:pPr>
          <w:r>
            <w:fldChar w:fldCharType="begin"/>
          </w:r>
          <w:r>
            <w:instrText xml:space="preserve"> HYPERLINK \l "_Toc52377980" </w:instrText>
          </w:r>
          <w:r>
            <w:fldChar w:fldCharType="separate"/>
          </w:r>
          <w:r>
            <w:rPr>
              <w:rStyle w:val="71"/>
            </w:rPr>
            <w:t>6.6 引领全国氢能产业标准体系</w:t>
          </w:r>
          <w:r>
            <w:tab/>
          </w:r>
          <w:r>
            <w:fldChar w:fldCharType="begin"/>
          </w:r>
          <w:r>
            <w:instrText xml:space="preserve"> PAGEREF _Toc52377980 \h </w:instrText>
          </w:r>
          <w:r>
            <w:fldChar w:fldCharType="separate"/>
          </w:r>
          <w:r>
            <w:t>61</w:t>
          </w:r>
          <w:r>
            <w:fldChar w:fldCharType="end"/>
          </w:r>
          <w:r>
            <w:fldChar w:fldCharType="end"/>
          </w:r>
        </w:p>
        <w:p w14:paraId="3318F2F0">
          <w:pPr>
            <w:pStyle w:val="43"/>
            <w:rPr>
              <w:rFonts w:asciiTheme="minorHAnsi" w:hAnsiTheme="minorHAnsi" w:eastAsiaTheme="minorEastAsia" w:cstheme="minorBidi"/>
              <w:b w:val="0"/>
              <w:bCs w:val="0"/>
              <w:caps w:val="0"/>
              <w:sz w:val="21"/>
              <w:szCs w:val="22"/>
            </w:rPr>
          </w:pPr>
          <w:r>
            <w:fldChar w:fldCharType="begin"/>
          </w:r>
          <w:r>
            <w:instrText xml:space="preserve"> HYPERLINK \l "_Toc52377981" </w:instrText>
          </w:r>
          <w:r>
            <w:fldChar w:fldCharType="separate"/>
          </w:r>
          <w:r>
            <w:rPr>
              <w:rStyle w:val="71"/>
            </w:rPr>
            <w:t>第七章 规划实施保障</w:t>
          </w:r>
          <w:r>
            <w:tab/>
          </w:r>
          <w:r>
            <w:fldChar w:fldCharType="begin"/>
          </w:r>
          <w:r>
            <w:instrText xml:space="preserve"> PAGEREF _Toc52377981 \h </w:instrText>
          </w:r>
          <w:r>
            <w:fldChar w:fldCharType="separate"/>
          </w:r>
          <w:r>
            <w:t>63</w:t>
          </w:r>
          <w:r>
            <w:fldChar w:fldCharType="end"/>
          </w:r>
          <w:r>
            <w:fldChar w:fldCharType="end"/>
          </w:r>
        </w:p>
        <w:p w14:paraId="0D399CB8">
          <w:pPr>
            <w:pStyle w:val="51"/>
            <w:rPr>
              <w:rFonts w:asciiTheme="minorHAnsi" w:hAnsiTheme="minorHAnsi" w:eastAsiaTheme="minorEastAsia" w:cstheme="minorBidi"/>
              <w:bCs w:val="0"/>
              <w:caps w:val="0"/>
              <w:sz w:val="21"/>
              <w:szCs w:val="22"/>
            </w:rPr>
          </w:pPr>
          <w:r>
            <w:fldChar w:fldCharType="begin"/>
          </w:r>
          <w:r>
            <w:instrText xml:space="preserve"> HYPERLINK \l "_Toc52377982" </w:instrText>
          </w:r>
          <w:r>
            <w:fldChar w:fldCharType="separate"/>
          </w:r>
          <w:r>
            <w:rPr>
              <w:rStyle w:val="71"/>
            </w:rPr>
            <w:t>7.1 加强政府引导</w:t>
          </w:r>
          <w:r>
            <w:tab/>
          </w:r>
          <w:r>
            <w:fldChar w:fldCharType="begin"/>
          </w:r>
          <w:r>
            <w:instrText xml:space="preserve"> PAGEREF _Toc52377982 \h </w:instrText>
          </w:r>
          <w:r>
            <w:fldChar w:fldCharType="separate"/>
          </w:r>
          <w:r>
            <w:t>63</w:t>
          </w:r>
          <w:r>
            <w:fldChar w:fldCharType="end"/>
          </w:r>
          <w:r>
            <w:fldChar w:fldCharType="end"/>
          </w:r>
        </w:p>
        <w:p w14:paraId="5A6F7C7F">
          <w:pPr>
            <w:pStyle w:val="51"/>
            <w:rPr>
              <w:rFonts w:asciiTheme="minorHAnsi" w:hAnsiTheme="minorHAnsi" w:eastAsiaTheme="minorEastAsia" w:cstheme="minorBidi"/>
              <w:bCs w:val="0"/>
              <w:caps w:val="0"/>
              <w:sz w:val="21"/>
              <w:szCs w:val="22"/>
            </w:rPr>
          </w:pPr>
          <w:r>
            <w:fldChar w:fldCharType="begin"/>
          </w:r>
          <w:r>
            <w:instrText xml:space="preserve"> HYPERLINK \l "_Toc52377983" </w:instrText>
          </w:r>
          <w:r>
            <w:fldChar w:fldCharType="separate"/>
          </w:r>
          <w:r>
            <w:rPr>
              <w:rStyle w:val="71"/>
            </w:rPr>
            <w:t>7.2 落实政策扶持与考核机制</w:t>
          </w:r>
          <w:r>
            <w:tab/>
          </w:r>
          <w:r>
            <w:fldChar w:fldCharType="begin"/>
          </w:r>
          <w:r>
            <w:instrText xml:space="preserve"> PAGEREF _Toc52377983 \h </w:instrText>
          </w:r>
          <w:r>
            <w:fldChar w:fldCharType="separate"/>
          </w:r>
          <w:r>
            <w:t>63</w:t>
          </w:r>
          <w:r>
            <w:fldChar w:fldCharType="end"/>
          </w:r>
          <w:r>
            <w:fldChar w:fldCharType="end"/>
          </w:r>
        </w:p>
        <w:p w14:paraId="74830761">
          <w:pPr>
            <w:pStyle w:val="51"/>
            <w:rPr>
              <w:rFonts w:asciiTheme="minorHAnsi" w:hAnsiTheme="minorHAnsi" w:eastAsiaTheme="minorEastAsia" w:cstheme="minorBidi"/>
              <w:bCs w:val="0"/>
              <w:caps w:val="0"/>
              <w:sz w:val="21"/>
              <w:szCs w:val="22"/>
            </w:rPr>
          </w:pPr>
          <w:r>
            <w:fldChar w:fldCharType="begin"/>
          </w:r>
          <w:r>
            <w:instrText xml:space="preserve"> HYPERLINK \l "_Toc52377984" </w:instrText>
          </w:r>
          <w:r>
            <w:fldChar w:fldCharType="separate"/>
          </w:r>
          <w:r>
            <w:rPr>
              <w:rStyle w:val="71"/>
            </w:rPr>
            <w:t>7.3 引导市场资源配置</w:t>
          </w:r>
          <w:r>
            <w:tab/>
          </w:r>
          <w:r>
            <w:fldChar w:fldCharType="begin"/>
          </w:r>
          <w:r>
            <w:instrText xml:space="preserve"> PAGEREF _Toc52377984 \h </w:instrText>
          </w:r>
          <w:r>
            <w:fldChar w:fldCharType="separate"/>
          </w:r>
          <w:r>
            <w:t>64</w:t>
          </w:r>
          <w:r>
            <w:fldChar w:fldCharType="end"/>
          </w:r>
          <w:r>
            <w:fldChar w:fldCharType="end"/>
          </w:r>
        </w:p>
        <w:p w14:paraId="4C0F636C">
          <w:pPr>
            <w:pStyle w:val="51"/>
            <w:rPr>
              <w:rFonts w:asciiTheme="minorHAnsi" w:hAnsiTheme="minorHAnsi" w:eastAsiaTheme="minorEastAsia" w:cstheme="minorBidi"/>
              <w:bCs w:val="0"/>
              <w:caps w:val="0"/>
              <w:sz w:val="21"/>
              <w:szCs w:val="22"/>
            </w:rPr>
          </w:pPr>
          <w:r>
            <w:fldChar w:fldCharType="begin"/>
          </w:r>
          <w:r>
            <w:instrText xml:space="preserve"> HYPERLINK \l "_Toc52377985" </w:instrText>
          </w:r>
          <w:r>
            <w:fldChar w:fldCharType="separate"/>
          </w:r>
          <w:r>
            <w:rPr>
              <w:rStyle w:val="71"/>
            </w:rPr>
            <w:t>7.4 营造氢能产业绿色发展环境</w:t>
          </w:r>
          <w:r>
            <w:tab/>
          </w:r>
          <w:r>
            <w:fldChar w:fldCharType="begin"/>
          </w:r>
          <w:r>
            <w:instrText xml:space="preserve"> PAGEREF _Toc52377985 \h </w:instrText>
          </w:r>
          <w:r>
            <w:fldChar w:fldCharType="separate"/>
          </w:r>
          <w:r>
            <w:t>64</w:t>
          </w:r>
          <w:r>
            <w:fldChar w:fldCharType="end"/>
          </w:r>
          <w:r>
            <w:fldChar w:fldCharType="end"/>
          </w:r>
        </w:p>
        <w:p w14:paraId="2AE88D92">
          <w:pPr>
            <w:pStyle w:val="51"/>
            <w:rPr>
              <w:rFonts w:asciiTheme="minorHAnsi" w:hAnsiTheme="minorHAnsi" w:eastAsiaTheme="minorEastAsia" w:cstheme="minorBidi"/>
              <w:bCs w:val="0"/>
              <w:caps w:val="0"/>
              <w:sz w:val="21"/>
              <w:szCs w:val="22"/>
            </w:rPr>
          </w:pPr>
          <w:r>
            <w:fldChar w:fldCharType="begin"/>
          </w:r>
          <w:r>
            <w:instrText xml:space="preserve"> HYPERLINK \l "_Toc52377986" </w:instrText>
          </w:r>
          <w:r>
            <w:fldChar w:fldCharType="separate"/>
          </w:r>
          <w:r>
            <w:rPr>
              <w:rStyle w:val="71"/>
            </w:rPr>
            <w:t>7.5 提升氢能产业安全保障与应急措施能力</w:t>
          </w:r>
          <w:r>
            <w:tab/>
          </w:r>
          <w:r>
            <w:fldChar w:fldCharType="begin"/>
          </w:r>
          <w:r>
            <w:instrText xml:space="preserve"> PAGEREF _Toc52377986 \h </w:instrText>
          </w:r>
          <w:r>
            <w:fldChar w:fldCharType="separate"/>
          </w:r>
          <w:r>
            <w:t>65</w:t>
          </w:r>
          <w:r>
            <w:fldChar w:fldCharType="end"/>
          </w:r>
          <w:r>
            <w:fldChar w:fldCharType="end"/>
          </w:r>
        </w:p>
        <w:p w14:paraId="613545FD">
          <w:pPr>
            <w:ind w:firstLine="562"/>
          </w:pPr>
          <w:r>
            <w:rPr>
              <w:rFonts w:ascii="Times New Roman" w:hAnsi="Times New Roman" w:eastAsia="楷体_GB2312" w:cs="Times New Roman"/>
              <w:bCs/>
              <w:caps/>
              <w:szCs w:val="28"/>
            </w:rPr>
            <w:fldChar w:fldCharType="end"/>
          </w:r>
        </w:p>
      </w:sdtContent>
    </w:sdt>
    <w:p w14:paraId="6969D654">
      <w:pPr>
        <w:pStyle w:val="34"/>
        <w:spacing w:line="360" w:lineRule="auto"/>
        <w:ind w:firstLine="560"/>
        <w:rPr>
          <w:rFonts w:ascii="Arial" w:hAnsi="Arial" w:eastAsia="楷体_GB2312" w:cs="Arial"/>
          <w:sz w:val="28"/>
          <w:szCs w:val="28"/>
        </w:rPr>
      </w:pPr>
    </w:p>
    <w:p w14:paraId="2957F19C">
      <w:pPr>
        <w:pStyle w:val="34"/>
        <w:spacing w:line="360" w:lineRule="auto"/>
        <w:ind w:firstLine="562"/>
        <w:rPr>
          <w:rFonts w:ascii="Arial" w:hAnsi="Arial" w:eastAsia="楷体_GB2312" w:cs="Arial"/>
          <w:b/>
          <w:sz w:val="28"/>
        </w:rPr>
        <w:sectPr>
          <w:pgSz w:w="11906" w:h="16838"/>
          <w:pgMar w:top="1418" w:right="1418" w:bottom="1418" w:left="1418" w:header="720" w:footer="720" w:gutter="0"/>
          <w:pgBorders w:offsetFrom="page">
            <w:top w:val="single" w:color="1F497D" w:themeColor="text2" w:sz="12" w:space="24"/>
            <w:bottom w:val="single" w:color="1F497D" w:themeColor="text2" w:sz="12" w:space="24"/>
          </w:pgBorders>
          <w:pgNumType w:start="1"/>
          <w:cols w:space="720" w:num="1"/>
          <w:docGrid w:type="lines" w:linePitch="312" w:charSpace="0"/>
        </w:sectPr>
      </w:pPr>
      <w:r>
        <w:rPr>
          <w:rFonts w:ascii="Arial" w:hAnsi="Arial" w:eastAsia="楷体_GB2312" w:cs="Arial"/>
          <w:b/>
          <w:sz w:val="28"/>
        </w:rPr>
        <w:fldChar w:fldCharType="begin"/>
      </w:r>
      <w:r>
        <w:rPr>
          <w:rFonts w:ascii="Arial" w:hAnsi="Arial" w:eastAsia="楷体_GB2312" w:cs="Arial"/>
          <w:b/>
          <w:sz w:val="28"/>
        </w:rPr>
        <w:instrText xml:space="preserve"> TOC \o "1-2" \h \z \u </w:instrText>
      </w:r>
      <w:r>
        <w:rPr>
          <w:rFonts w:ascii="Arial" w:hAnsi="Arial" w:eastAsia="楷体_GB2312" w:cs="Arial"/>
          <w:b/>
          <w:sz w:val="28"/>
        </w:rPr>
        <w:fldChar w:fldCharType="end"/>
      </w:r>
    </w:p>
    <w:p w14:paraId="02F8FF5A">
      <w:pPr>
        <w:pStyle w:val="2"/>
      </w:pPr>
      <w:bookmarkStart w:id="0" w:name="_Toc52377946"/>
      <w:bookmarkStart w:id="1" w:name="_Toc18142543"/>
      <w:r>
        <w:t>第一章</w:t>
      </w:r>
      <w:r>
        <w:rPr>
          <w:rFonts w:hint="eastAsia"/>
        </w:rPr>
        <w:t xml:space="preserve"> </w:t>
      </w:r>
      <w:r>
        <w:t>氢能</w:t>
      </w:r>
      <w:r>
        <w:rPr>
          <w:rFonts w:hint="eastAsia"/>
        </w:rPr>
        <w:t>产业</w:t>
      </w:r>
      <w:r>
        <w:t>发展现状</w:t>
      </w:r>
      <w:r>
        <w:rPr>
          <w:rFonts w:hint="eastAsia"/>
        </w:rPr>
        <w:t>及对大同市的意义</w:t>
      </w:r>
      <w:bookmarkEnd w:id="0"/>
    </w:p>
    <w:bookmarkEnd w:id="1"/>
    <w:p w14:paraId="7E46AC83">
      <w:pPr>
        <w:pStyle w:val="4"/>
      </w:pPr>
      <w:bookmarkStart w:id="2" w:name="_Toc52377947"/>
      <w:r>
        <w:t>1.</w:t>
      </w:r>
      <w:r>
        <w:rPr>
          <w:rFonts w:hint="eastAsia"/>
        </w:rPr>
        <w:t>1</w:t>
      </w:r>
      <w:r>
        <w:t xml:space="preserve"> </w:t>
      </w:r>
      <w:r>
        <w:rPr>
          <w:rFonts w:hint="eastAsia"/>
        </w:rPr>
        <w:t>全球氢能产业</w:t>
      </w:r>
      <w:r>
        <w:t>发展现状</w:t>
      </w:r>
      <w:bookmarkEnd w:id="2"/>
    </w:p>
    <w:p w14:paraId="6AD6A466">
      <w:pPr>
        <w:adjustRightInd w:val="0"/>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氢能被认为是推动传统化石能源清洁高效利用和支撑可再生能源大规模发展的理想互联媒介，也是实现交通运输、工业和建筑等领域大规模深度脱碳的最佳选择，将会逐渐成为全球能源技术革命的重要方向。</w:t>
      </w:r>
    </w:p>
    <w:p w14:paraId="05D222C3">
      <w:pPr>
        <w:adjustRightInd w:val="0"/>
        <w:spacing w:line="360" w:lineRule="auto"/>
        <w:ind w:firstLine="560" w:firstLineChars="200"/>
        <w:rPr>
          <w:rFonts w:ascii="Times New Roman" w:hAnsi="Times New Roman" w:eastAsia="楷体_GB2312"/>
          <w:sz w:val="28"/>
          <w:szCs w:val="28"/>
        </w:rPr>
      </w:pPr>
      <w:r>
        <w:rPr>
          <w:rFonts w:ascii="Times New Roman" w:hAnsi="Times New Roman" w:eastAsia="楷体_GB2312" w:cs="Times New Roman"/>
          <w:sz w:val="28"/>
          <w:szCs w:val="28"/>
        </w:rPr>
        <w:t>在全球应对气候变化和清洁能源转型的大背景下，氢能源以其绿色、高效、应用范围广等优势，成为全球最具发展潜力的清洁能源。截止至2018年，全球氢气总产量达到6500万吨，其中，天然气制氢目前是氢气的主要来源，占比达75%左右，煤炭制氢占到15%；</w:t>
      </w:r>
      <w:r>
        <w:rPr>
          <w:rFonts w:ascii="Times New Roman" w:hAnsi="Times New Roman" w:eastAsia="楷体_GB2312"/>
          <w:sz w:val="28"/>
          <w:szCs w:val="28"/>
        </w:rPr>
        <w:t>氢能应用领域也主要集中在合成氨、合成甲醇、炼油和炼钢等，其中石油炼化占48%，合成氨占43%。随着氢燃料电池技术的进步，氢能的应用将会在交通、固定电源和热电联产等领域将会形成新的增长点，全球对氢能的需求量也将会不断增长。</w:t>
      </w:r>
    </w:p>
    <w:p w14:paraId="4F1155A9">
      <w:pPr>
        <w:adjustRightInd w:val="0"/>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氢气的储运、加注方面，目前，美国、日本、德国等国家已掌握70 MPa氢气压缩、储存、加注及关键零部件等先进技术。从具体设备来看，美国PDC等公司已掌握具有三层金属隔膜结构的氢气压缩机制造技术，输出压力上限超过85 MPa；美国、加拿大、日本等国均可自主生产耐压超过70 MPa的高压储氢容器；德国林德、美国空气产品公司等企业生产的70 MPa氢气加注机安全性与智能化较高，并实现量产。据H</w:t>
      </w:r>
      <w:r>
        <w:rPr>
          <w:rFonts w:hint="eastAsia" w:ascii="Times New Roman" w:hAnsi="Times New Roman" w:eastAsia="楷体_GB2312" w:cs="Times New Roman"/>
          <w:sz w:val="28"/>
          <w:szCs w:val="28"/>
          <w:vertAlign w:val="subscript"/>
        </w:rPr>
        <w:t>2</w:t>
      </w:r>
      <w:r>
        <w:rPr>
          <w:rFonts w:hint="eastAsia" w:ascii="Times New Roman" w:hAnsi="Times New Roman" w:eastAsia="楷体_GB2312" w:cs="Times New Roman"/>
          <w:sz w:val="28"/>
          <w:szCs w:val="28"/>
        </w:rPr>
        <w:t xml:space="preserve"> stations公布，</w:t>
      </w:r>
      <w:r>
        <w:rPr>
          <w:rFonts w:ascii="Times New Roman" w:hAnsi="Times New Roman" w:eastAsia="楷体_GB2312" w:cs="Times New Roman"/>
          <w:sz w:val="28"/>
          <w:szCs w:val="28"/>
        </w:rPr>
        <w:t>在过去5年中，全球加氢站保有量增加了135%</w:t>
      </w:r>
      <w:r>
        <w:rPr>
          <w:rFonts w:hint="eastAsia" w:ascii="Times New Roman" w:hAnsi="Times New Roman" w:eastAsia="楷体_GB2312" w:cs="Times New Roman"/>
          <w:sz w:val="28"/>
          <w:szCs w:val="28"/>
        </w:rPr>
        <w:t>，2019年全球加氢站总数达到了493个，主要分布在亚洲和欧洲；全球加氢站中1/3是液氢加氢站，大部分在欧美和日本。在液氢方面，目前全球总产能为470t/d，北美占85%以上。日本、美国、德国等国家已经拥有了液氢的大规模制备、储运、加注技术；美国肯尼迪航天中心拥有世界上最大的低温液化储氢罐，容积高达1120 m</w:t>
      </w:r>
      <w:r>
        <w:rPr>
          <w:rFonts w:hint="eastAsia" w:ascii="Times New Roman" w:hAnsi="Times New Roman" w:eastAsia="楷体_GB2312" w:cs="Times New Roman"/>
          <w:sz w:val="28"/>
          <w:szCs w:val="28"/>
          <w:vertAlign w:val="superscript"/>
        </w:rPr>
        <w:t>3</w:t>
      </w:r>
      <w:r>
        <w:rPr>
          <w:rFonts w:hint="eastAsia" w:ascii="Times New Roman" w:hAnsi="Times New Roman" w:eastAsia="楷体_GB2312" w:cs="Times New Roman"/>
          <w:sz w:val="28"/>
          <w:szCs w:val="28"/>
        </w:rPr>
        <w:t xml:space="preserve">。 </w:t>
      </w:r>
    </w:p>
    <w:p w14:paraId="59F55399">
      <w:pPr>
        <w:adjustRightInd w:val="0"/>
        <w:spacing w:line="360" w:lineRule="auto"/>
        <w:jc w:val="center"/>
        <w:rPr>
          <w:rFonts w:ascii="Times New Roman" w:hAnsi="Times New Roman" w:eastAsia="楷体_GB2312" w:cs="Times New Roman"/>
          <w:sz w:val="28"/>
          <w:szCs w:val="28"/>
        </w:rPr>
      </w:pPr>
      <w:r>
        <w:rPr>
          <w:rFonts w:ascii="Times New Roman" w:hAnsi="Times New Roman" w:eastAsia="楷体_GB2312" w:cs="Times New Roman"/>
          <w:sz w:val="28"/>
          <w:szCs w:val="28"/>
        </w:rPr>
        <w:drawing>
          <wp:inline distT="0" distB="0" distL="0" distR="0">
            <wp:extent cx="4988560" cy="3359150"/>
            <wp:effectExtent l="19050" t="0" r="2134"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1" cstate="print">
                      <a:extLst>
                        <a:ext uri="{28A0092B-C50C-407E-A947-70E740481C1C}">
                          <a14:useLocalDpi xmlns:a14="http://schemas.microsoft.com/office/drawing/2010/main" val="0"/>
                        </a:ext>
                      </a:extLst>
                    </a:blip>
                    <a:srcRect l="9819"/>
                    <a:stretch>
                      <a:fillRect/>
                    </a:stretch>
                  </pic:blipFill>
                  <pic:spPr>
                    <a:xfrm>
                      <a:off x="0" y="0"/>
                      <a:ext cx="4988966" cy="3359522"/>
                    </a:xfrm>
                    <a:prstGeom prst="rect">
                      <a:avLst/>
                    </a:prstGeom>
                    <a:noFill/>
                    <a:ln>
                      <a:noFill/>
                    </a:ln>
                  </pic:spPr>
                </pic:pic>
              </a:graphicData>
            </a:graphic>
          </wp:inline>
        </w:drawing>
      </w:r>
    </w:p>
    <w:p w14:paraId="010753D1">
      <w:pPr>
        <w:adjustRightInd w:val="0"/>
        <w:spacing w:line="360" w:lineRule="auto"/>
        <w:ind w:firstLine="482" w:firstLineChars="200"/>
        <w:jc w:val="center"/>
        <w:rPr>
          <w:rFonts w:ascii="Times New Roman" w:hAnsi="Times New Roman" w:eastAsia="楷体" w:cs="Times New Roman"/>
          <w:b/>
          <w:sz w:val="24"/>
          <w:szCs w:val="24"/>
        </w:rPr>
      </w:pPr>
      <w:r>
        <w:rPr>
          <w:rFonts w:ascii="Times New Roman" w:hAnsi="Times New Roman" w:eastAsia="楷体" w:cs="Times New Roman"/>
          <w:b/>
          <w:sz w:val="24"/>
          <w:szCs w:val="24"/>
        </w:rPr>
        <w:t>图1-1 2014-2019年全球加氢站数量（座）</w:t>
      </w:r>
    </w:p>
    <w:p w14:paraId="3B0A92A2">
      <w:pPr>
        <w:adjustRightInd w:val="0"/>
        <w:spacing w:line="360" w:lineRule="auto"/>
        <w:ind w:firstLine="560" w:firstLineChars="200"/>
        <w:rPr>
          <w:rFonts w:ascii="Times New Roman" w:hAnsi="Times New Roman" w:eastAsia="楷体_GB2312" w:cs="Times New Roman"/>
          <w:sz w:val="28"/>
          <w:szCs w:val="28"/>
        </w:rPr>
      </w:pPr>
      <w:r>
        <w:rPr>
          <w:rFonts w:ascii="Times New Roman" w:hAnsi="Times New Roman" w:eastAsia="楷体_GB2312" w:cs="Times New Roman"/>
          <w:sz w:val="28"/>
          <w:szCs w:val="28"/>
        </w:rPr>
        <w:t>氢燃料</w:t>
      </w:r>
      <w:r>
        <w:rPr>
          <w:rFonts w:hint="eastAsia" w:ascii="Times New Roman" w:hAnsi="Times New Roman" w:eastAsia="楷体_GB2312" w:cs="Times New Roman"/>
          <w:sz w:val="28"/>
          <w:szCs w:val="28"/>
        </w:rPr>
        <w:t>电池</w:t>
      </w:r>
      <w:r>
        <w:rPr>
          <w:rFonts w:ascii="Times New Roman" w:hAnsi="Times New Roman" w:eastAsia="楷体_GB2312" w:cs="Times New Roman"/>
          <w:sz w:val="28"/>
          <w:szCs w:val="28"/>
        </w:rPr>
        <w:t>方面，</w:t>
      </w:r>
      <w:r>
        <w:rPr>
          <w:rFonts w:hint="eastAsia" w:ascii="Times New Roman" w:hAnsi="Times New Roman" w:eastAsia="楷体_GB2312" w:cs="Times New Roman"/>
          <w:sz w:val="28"/>
          <w:szCs w:val="28"/>
        </w:rPr>
        <w:t>目前燃料电池电堆功率密度、寿命、冷启动等关键技术与成本瓶颈已逐步取得突破。国际先进水平电堆功率密度已达到</w:t>
      </w:r>
      <w:r>
        <w:rPr>
          <w:rFonts w:ascii="Times New Roman" w:hAnsi="Times New Roman" w:eastAsia="楷体_GB2312" w:cs="Times New Roman"/>
          <w:sz w:val="28"/>
          <w:szCs w:val="28"/>
        </w:rPr>
        <w:t>3.1</w:t>
      </w:r>
      <w:r>
        <w:rPr>
          <w:rFonts w:hint="eastAsia" w:ascii="Times New Roman" w:hAnsi="Times New Roman" w:eastAsia="楷体_GB2312" w:cs="Times New Roman"/>
          <w:sz w:val="28"/>
          <w:szCs w:val="28"/>
        </w:rPr>
        <w:t>2k</w:t>
      </w:r>
      <w:r>
        <w:rPr>
          <w:rFonts w:ascii="Times New Roman" w:hAnsi="Times New Roman" w:eastAsia="楷体_GB2312" w:cs="Times New Roman"/>
          <w:sz w:val="28"/>
          <w:szCs w:val="28"/>
        </w:rPr>
        <w:t>W/L</w:t>
      </w:r>
      <w:r>
        <w:rPr>
          <w:rFonts w:hint="eastAsia" w:ascii="Times New Roman" w:hAnsi="Times New Roman" w:eastAsia="楷体_GB2312" w:cs="Times New Roman"/>
          <w:sz w:val="28"/>
          <w:szCs w:val="28"/>
        </w:rPr>
        <w:t xml:space="preserve">，乘用车系统使用寿命普遍达到5000 h，其中商用车达到20000 </w:t>
      </w:r>
      <w:r>
        <w:rPr>
          <w:rFonts w:ascii="Times New Roman" w:hAnsi="Times New Roman" w:eastAsia="楷体_GB2312" w:cs="Times New Roman"/>
          <w:sz w:val="28"/>
          <w:szCs w:val="28"/>
        </w:rPr>
        <w:t>h</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根据《 2019年燃料电池行业评论》，2019年全球燃料电池出货量约为1.1GW，</w:t>
      </w:r>
      <w:r>
        <w:rPr>
          <w:rFonts w:hint="eastAsia" w:ascii="Times New Roman" w:hAnsi="Times New Roman" w:eastAsia="楷体_GB2312" w:cs="Times New Roman"/>
          <w:sz w:val="28"/>
          <w:szCs w:val="28"/>
        </w:rPr>
        <w:t>同比增长</w:t>
      </w:r>
      <w:r>
        <w:rPr>
          <w:rFonts w:ascii="Times New Roman" w:hAnsi="Times New Roman" w:eastAsia="楷体_GB2312" w:cs="Times New Roman"/>
          <w:sz w:val="28"/>
          <w:szCs w:val="28"/>
        </w:rPr>
        <w:t>40%</w:t>
      </w:r>
      <w:r>
        <w:rPr>
          <w:rFonts w:hint="eastAsia" w:ascii="Times New Roman" w:hAnsi="Times New Roman" w:eastAsia="楷体_GB2312" w:cs="Times New Roman"/>
          <w:sz w:val="28"/>
          <w:szCs w:val="28"/>
        </w:rPr>
        <w:t>，预测</w:t>
      </w:r>
      <w:r>
        <w:rPr>
          <w:rFonts w:ascii="Times New Roman" w:hAnsi="Times New Roman" w:eastAsia="楷体_GB2312" w:cs="Times New Roman"/>
          <w:sz w:val="28"/>
          <w:szCs w:val="28"/>
        </w:rPr>
        <w:t>2020-2030年将会是燃料电池崛起的十年。</w:t>
      </w:r>
      <w:r>
        <w:rPr>
          <w:rFonts w:hint="eastAsia" w:ascii="Times New Roman" w:hAnsi="Times New Roman" w:eastAsia="楷体_GB2312" w:cs="Times New Roman"/>
          <w:sz w:val="28"/>
          <w:szCs w:val="28"/>
        </w:rPr>
        <w:t>根据国际氢能委员会的预测，到</w:t>
      </w:r>
      <w:r>
        <w:rPr>
          <w:rFonts w:ascii="Times New Roman" w:hAnsi="Times New Roman" w:eastAsia="楷体_GB2312" w:cs="Times New Roman"/>
          <w:sz w:val="28"/>
          <w:szCs w:val="28"/>
        </w:rPr>
        <w:t xml:space="preserve">2050 </w:t>
      </w:r>
      <w:r>
        <w:rPr>
          <w:rFonts w:hint="eastAsia" w:ascii="Times New Roman" w:hAnsi="Times New Roman" w:eastAsia="楷体_GB2312" w:cs="Times New Roman"/>
          <w:sz w:val="28"/>
          <w:szCs w:val="28"/>
        </w:rPr>
        <w:t>年全球氢能源消费将占总能源需求的</w:t>
      </w:r>
      <w:r>
        <w:rPr>
          <w:rFonts w:ascii="Times New Roman" w:hAnsi="Times New Roman" w:eastAsia="楷体_GB2312" w:cs="Times New Roman"/>
          <w:sz w:val="28"/>
          <w:szCs w:val="28"/>
        </w:rPr>
        <w:t>18%</w:t>
      </w:r>
      <w:r>
        <w:rPr>
          <w:rFonts w:hint="eastAsia" w:ascii="Times New Roman" w:hAnsi="Times New Roman" w:eastAsia="楷体_GB2312" w:cs="Times New Roman"/>
          <w:sz w:val="28"/>
          <w:szCs w:val="28"/>
        </w:rPr>
        <w:t>，氢能源及应用年均市场规模将超</w:t>
      </w:r>
      <w:r>
        <w:rPr>
          <w:rFonts w:ascii="Times New Roman" w:hAnsi="Times New Roman" w:eastAsia="楷体_GB2312" w:cs="Times New Roman"/>
          <w:sz w:val="28"/>
          <w:szCs w:val="28"/>
        </w:rPr>
        <w:t>2.5</w:t>
      </w:r>
      <w:r>
        <w:rPr>
          <w:rFonts w:hint="eastAsia" w:ascii="Times New Roman" w:hAnsi="Times New Roman" w:eastAsia="楷体_GB2312" w:cs="Times New Roman"/>
          <w:sz w:val="28"/>
          <w:szCs w:val="28"/>
        </w:rPr>
        <w:t>万亿美元，氢能市场前景巨大。</w:t>
      </w:r>
    </w:p>
    <w:p w14:paraId="36E6475F">
      <w:pPr>
        <w:pStyle w:val="4"/>
      </w:pPr>
      <w:bookmarkStart w:id="3" w:name="_Toc18142544"/>
      <w:bookmarkStart w:id="4" w:name="_Toc52377948"/>
      <w:r>
        <w:t>1.</w:t>
      </w:r>
      <w:r>
        <w:rPr>
          <w:rFonts w:hint="eastAsia"/>
        </w:rPr>
        <w:t>2</w:t>
      </w:r>
      <w:r>
        <w:t xml:space="preserve"> </w:t>
      </w:r>
      <w:r>
        <w:rPr>
          <w:rFonts w:hint="eastAsia"/>
        </w:rPr>
        <w:t>中国</w:t>
      </w:r>
      <w:r>
        <w:t>氢能源产业发展的现状</w:t>
      </w:r>
      <w:bookmarkEnd w:id="3"/>
      <w:bookmarkEnd w:id="4"/>
    </w:p>
    <w:p w14:paraId="171F6A3D">
      <w:pPr>
        <w:adjustRightInd w:val="0"/>
        <w:spacing w:line="360" w:lineRule="auto"/>
        <w:ind w:firstLine="560" w:firstLineChars="200"/>
        <w:rPr>
          <w:rFonts w:ascii="Times New Roman" w:hAnsi="Times New Roman" w:eastAsia="楷体_GB2312" w:cs="Times New Roman"/>
          <w:sz w:val="28"/>
          <w:szCs w:val="28"/>
        </w:rPr>
      </w:pPr>
      <w:r>
        <w:rPr>
          <w:rFonts w:ascii="Times New Roman" w:hAnsi="Times New Roman" w:eastAsia="楷体_GB2312" w:cs="Times New Roman"/>
          <w:sz w:val="28"/>
          <w:szCs w:val="28"/>
        </w:rPr>
        <w:t>氢能作为应对全球气候变化、保障国家能源供应安全和实现可持续发展的重要产业，是构建</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清洁低碳、安全高效</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能源体系、推动能源供给侧结构性改革的重要举措。</w:t>
      </w:r>
      <w:r>
        <w:rPr>
          <w:rFonts w:hint="eastAsia" w:ascii="Times New Roman" w:hAnsi="Times New Roman" w:eastAsia="楷体_GB2312" w:cs="Times New Roman"/>
          <w:sz w:val="28"/>
          <w:szCs w:val="28"/>
        </w:rPr>
        <w:t>目前，我国在氢能及燃料电池领域，已经初步形成从基础研究、应用研究到应用示范的全方位格局，在完整的氢能产业链中均有布局，涵盖制氢、储运、加注、应用等环节。</w:t>
      </w:r>
    </w:p>
    <w:p w14:paraId="07031EE8">
      <w:pPr>
        <w:pStyle w:val="781"/>
        <w:ind w:firstLine="562"/>
        <w:rPr>
          <w:rFonts w:eastAsia="楷体_GB2312" w:cs="Times New Roman"/>
          <w:color w:val="FF0000"/>
        </w:rPr>
      </w:pPr>
      <w:r>
        <w:rPr>
          <w:rFonts w:hint="eastAsia" w:eastAsia="楷体_GB2312" w:cs="Times New Roman"/>
          <w:b/>
        </w:rPr>
        <w:t>制氢方面——</w:t>
      </w:r>
      <w:r>
        <w:rPr>
          <w:rFonts w:hint="eastAsia" w:eastAsia="楷体_GB2312" w:cs="Times New Roman"/>
        </w:rPr>
        <w:t>经过多年的工业积累，中国已是世界上最大的制氢国，截至2018年，国内现有工业制氢产能约为2500万吨/年，氢气产量约为2100万吨，占全球总产量的比例超过30%，</w:t>
      </w:r>
      <w:r>
        <w:rPr>
          <w:rFonts w:hint="eastAsia" w:eastAsia="楷体_GB2312" w:cs="Times New Roman"/>
          <w:color w:val="auto"/>
        </w:rPr>
        <w:t>其中约62%的氢气来源于煤制氢，天然气制氢占19%，电解水制氢只占氢气来源的1%。</w:t>
      </w:r>
      <w:r>
        <w:rPr>
          <w:rFonts w:hint="eastAsia" w:eastAsia="楷体_GB2312" w:cs="Times New Roman"/>
        </w:rPr>
        <w:t>氢作为储能介质，未来结合光伏、风电将有望重塑能源格局。因其具备可大规模、远距离输送，终端应用灵活多样，可长期储存等优点，是大规模消纳弃风、弃光、弃风电、弃光电等新能源，实</w:t>
      </w:r>
      <w:r>
        <w:rPr>
          <w:rFonts w:hint="eastAsia" w:eastAsia="楷体_GB2312" w:cs="Times New Roman"/>
          <w:color w:val="auto"/>
          <w:kern w:val="2"/>
        </w:rPr>
        <w:t>现电网和气网互联互通的重要手段，也会是制氢技术发展的一个重要方向。</w:t>
      </w:r>
    </w:p>
    <w:p w14:paraId="0B1EE4B1">
      <w:pPr>
        <w:pStyle w:val="781"/>
        <w:ind w:firstLine="562"/>
        <w:rPr>
          <w:rFonts w:eastAsia="楷体_GB2312" w:cs="Times New Roman"/>
        </w:rPr>
      </w:pPr>
      <w:r>
        <w:rPr>
          <w:rFonts w:hint="eastAsia" w:eastAsia="楷体_GB2312" w:cs="Times New Roman"/>
          <w:b/>
          <w:color w:val="auto"/>
          <w:kern w:val="2"/>
        </w:rPr>
        <w:t>储运方面——</w:t>
      </w:r>
      <w:r>
        <w:rPr>
          <w:rFonts w:hint="eastAsia" w:eastAsia="楷体_GB2312" w:cs="Times New Roman"/>
        </w:rPr>
        <w:t>我国现阶段氢能储运的主要方式为高压气态储运技术，该技术适用于氢能的短距离、小规模运送。目前，该技术的关键设备高压储罐已实现国产化，储罐最高耐压为45MPa。</w:t>
      </w:r>
      <w:r>
        <w:rPr>
          <w:rFonts w:eastAsia="楷体_GB2312" w:cs="Times New Roman"/>
          <w:color w:val="auto"/>
          <w:kern w:val="2"/>
        </w:rPr>
        <w:t>开发70M</w:t>
      </w:r>
      <w:r>
        <w:rPr>
          <w:rFonts w:hint="eastAsia" w:eastAsia="楷体_GB2312" w:cs="Times New Roman"/>
          <w:color w:val="auto"/>
          <w:kern w:val="2"/>
        </w:rPr>
        <w:t>P</w:t>
      </w:r>
      <w:r>
        <w:rPr>
          <w:rFonts w:eastAsia="楷体_GB2312" w:cs="Times New Roman"/>
          <w:color w:val="auto"/>
          <w:kern w:val="2"/>
        </w:rPr>
        <w:t>a及以上高压氢气储罐及相关设备、液态氢</w:t>
      </w:r>
      <w:r>
        <w:rPr>
          <w:rFonts w:hint="eastAsia" w:eastAsia="楷体_GB2312" w:cs="Times New Roman"/>
          <w:color w:val="auto"/>
          <w:kern w:val="2"/>
        </w:rPr>
        <w:t>储罐及</w:t>
      </w:r>
      <w:r>
        <w:rPr>
          <w:rFonts w:eastAsia="楷体_GB2312" w:cs="Times New Roman"/>
          <w:color w:val="auto"/>
          <w:kern w:val="2"/>
        </w:rPr>
        <w:t>相关装备</w:t>
      </w:r>
      <w:r>
        <w:rPr>
          <w:rFonts w:hint="eastAsia" w:eastAsia="楷体_GB2312" w:cs="Times New Roman"/>
          <w:color w:val="auto"/>
          <w:kern w:val="2"/>
        </w:rPr>
        <w:t>，</w:t>
      </w:r>
      <w:r>
        <w:rPr>
          <w:rFonts w:eastAsia="楷体_GB2312" w:cs="Times New Roman"/>
          <w:color w:val="auto"/>
          <w:kern w:val="2"/>
        </w:rPr>
        <w:t>发展以甲基环己烷等</w:t>
      </w:r>
      <w:r>
        <w:rPr>
          <w:rFonts w:hint="eastAsia" w:eastAsia="楷体_GB2312" w:cs="Times New Roman"/>
          <w:color w:val="auto"/>
          <w:kern w:val="2"/>
        </w:rPr>
        <w:t>有机液体储运</w:t>
      </w:r>
      <w:r>
        <w:rPr>
          <w:rFonts w:eastAsia="楷体_GB2312" w:cs="Times New Roman"/>
          <w:color w:val="auto"/>
          <w:kern w:val="2"/>
        </w:rPr>
        <w:t>技术和装备</w:t>
      </w:r>
      <w:r>
        <w:rPr>
          <w:rFonts w:hint="eastAsia" w:eastAsia="楷体_GB2312" w:cs="Times New Roman"/>
          <w:color w:val="auto"/>
          <w:kern w:val="2"/>
        </w:rPr>
        <w:t>，</w:t>
      </w:r>
      <w:r>
        <w:rPr>
          <w:rFonts w:eastAsia="楷体_GB2312" w:cs="Times New Roman"/>
          <w:color w:val="auto"/>
          <w:kern w:val="2"/>
        </w:rPr>
        <w:t>攻关固态储氢材料、储氢技术和设备</w:t>
      </w:r>
      <w:r>
        <w:rPr>
          <w:rFonts w:hint="eastAsia" w:eastAsia="楷体_GB2312" w:cs="Times New Roman"/>
          <w:color w:val="auto"/>
          <w:kern w:val="2"/>
        </w:rPr>
        <w:t>，实现我国氢能大规模、远距离输送，这对我国氢能产业未来发展意义重大。</w:t>
      </w:r>
    </w:p>
    <w:p w14:paraId="3E8DFADC">
      <w:pPr>
        <w:pStyle w:val="781"/>
        <w:ind w:firstLine="562"/>
        <w:rPr>
          <w:rFonts w:eastAsia="楷体_GB2312" w:cs="Times New Roman"/>
          <w:color w:val="auto"/>
          <w:kern w:val="2"/>
        </w:rPr>
      </w:pPr>
      <w:r>
        <w:rPr>
          <w:rFonts w:hint="eastAsia" w:eastAsia="楷体_GB2312" w:cs="Times New Roman"/>
          <w:b/>
          <w:color w:val="auto"/>
          <w:kern w:val="2"/>
        </w:rPr>
        <w:t>加氢站方面——</w:t>
      </w:r>
      <w:r>
        <w:rPr>
          <w:rFonts w:hint="eastAsia" w:eastAsia="楷体_GB2312" w:cs="Times New Roman"/>
          <w:color w:val="auto"/>
          <w:kern w:val="2"/>
        </w:rPr>
        <w:t>截至2019年底，国内共建成加氢站66座，其中投入运营46座，根据</w:t>
      </w:r>
      <w:r>
        <w:rPr>
          <w:rFonts w:hint="eastAsia" w:eastAsia="楷体_GB2312" w:cs="Times New Roman"/>
        </w:rPr>
        <w:t>《中国氢能源及燃料电池产业白皮书》</w:t>
      </w:r>
      <w:r>
        <w:rPr>
          <w:rFonts w:hint="eastAsia" w:eastAsia="楷体_GB2312" w:cs="Times New Roman"/>
          <w:color w:val="auto"/>
          <w:kern w:val="2"/>
        </w:rPr>
        <w:t>，到2030年，预计建站1000座。目前我国加氢站基础设施建设处于导入阶段，</w:t>
      </w:r>
      <w:r>
        <w:rPr>
          <w:rFonts w:hint="eastAsia" w:eastAsia="楷体_GB2312" w:cs="Times New Roman"/>
        </w:rPr>
        <w:t>压缩机、加氢枪、站控系统等关键设备和零部件均采用国外进口，</w:t>
      </w:r>
      <w:r>
        <w:rPr>
          <w:rFonts w:hint="eastAsia" w:eastAsia="楷体_GB2312" w:cs="Times New Roman"/>
          <w:color w:val="auto"/>
          <w:kern w:val="2"/>
        </w:rPr>
        <w:t>且加氢站建设数量、速度及运行参数未达预期。未来，实现加氢站关键设备的国产化，打造70MPa高压加氢站，大力推进液氢加氢站的建设，开展加氢站现场制氢、储氢、加注一体化模式的示范应用，是我国加氢站产业的未来发展方向。</w:t>
      </w:r>
    </w:p>
    <w:p w14:paraId="7E23171F">
      <w:pPr>
        <w:pStyle w:val="781"/>
        <w:ind w:firstLine="562"/>
        <w:rPr>
          <w:rFonts w:eastAsia="楷体_GB2312" w:cs="Times New Roman"/>
          <w:b/>
          <w:color w:val="auto"/>
          <w:kern w:val="2"/>
        </w:rPr>
      </w:pPr>
      <w:r>
        <w:rPr>
          <w:rFonts w:hint="eastAsia" w:eastAsia="楷体_GB2312" w:cs="Times New Roman"/>
          <w:b/>
          <w:color w:val="auto"/>
          <w:kern w:val="2"/>
        </w:rPr>
        <w:t>下游应用方面——</w:t>
      </w:r>
      <w:r>
        <w:rPr>
          <w:rFonts w:hint="eastAsia" w:eastAsia="楷体_GB2312" w:cs="Times New Roman"/>
          <w:color w:val="auto"/>
          <w:kern w:val="2"/>
        </w:rPr>
        <w:t>氢能的下游应用主要集中在氢燃料电池转化应用领域，包括便携式、固定式、交通运输等几个方面的应用，其中氢燃料电池在交通运输方面的应用已占到全部氢燃料电池的70%以上，这对于我国氢能产业的快速发展具有不可替代的拉动作用。</w:t>
      </w:r>
    </w:p>
    <w:p w14:paraId="4D77DE51">
      <w:pPr>
        <w:pStyle w:val="781"/>
        <w:ind w:firstLine="560"/>
        <w:rPr>
          <w:rFonts w:eastAsia="楷体_GB2312" w:cs="Times New Roman"/>
          <w:color w:val="auto"/>
          <w:kern w:val="2"/>
        </w:rPr>
      </w:pPr>
      <w:r>
        <w:rPr>
          <w:rFonts w:hint="eastAsia" w:eastAsia="楷体_GB2312" w:cs="Times New Roman"/>
          <w:color w:val="auto"/>
          <w:kern w:val="2"/>
        </w:rPr>
        <w:t>随着我国氢能产业发展迅速，民营企业与大型制造业积极布局氢能产业。截止2018年底，国内氢能及燃料电池产业链涉及规模以上企业约309家，从地域分布来看，东部地区企业数量多，发展快。据《2017-2022年中国氢燃料电池行业深度调查分析及发展潜力预测报告》数据显示，至2022年，我国氢燃料电池市场规模将达84.69亿元。</w:t>
      </w:r>
    </w:p>
    <w:p w14:paraId="67CF2B97">
      <w:pPr>
        <w:widowControl/>
        <w:shd w:val="clear" w:color="auto" w:fill="FFFFFF"/>
        <w:spacing w:line="360" w:lineRule="auto"/>
        <w:jc w:val="center"/>
        <w:rPr>
          <w:rFonts w:ascii="Arial" w:hAnsi="Arial" w:eastAsia="楷体_GB2312" w:cs="Arial"/>
          <w:sz w:val="28"/>
          <w:szCs w:val="28"/>
        </w:rPr>
      </w:pPr>
      <w:r>
        <w:rPr>
          <w:rFonts w:ascii="Arial" w:hAnsi="Arial" w:eastAsia="楷体_GB2312" w:cs="Arial"/>
          <w:sz w:val="28"/>
          <w:szCs w:val="28"/>
        </w:rPr>
        <w:drawing>
          <wp:inline distT="0" distB="0" distL="0" distR="0">
            <wp:extent cx="4634230" cy="351917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635229" cy="3520268"/>
                    </a:xfrm>
                    <a:prstGeom prst="rect">
                      <a:avLst/>
                    </a:prstGeom>
                    <a:noFill/>
                  </pic:spPr>
                </pic:pic>
              </a:graphicData>
            </a:graphic>
          </wp:inline>
        </w:drawing>
      </w:r>
    </w:p>
    <w:p w14:paraId="1B03609C">
      <w:pPr>
        <w:pStyle w:val="783"/>
        <w:rPr>
          <w:rFonts w:eastAsia="楷体" w:cs="Times New Roman"/>
        </w:rPr>
      </w:pPr>
      <w:r>
        <w:rPr>
          <w:rFonts w:eastAsia="楷体" w:cs="Times New Roman"/>
        </w:rPr>
        <w:t>图1-2 不同时间段内氢燃料电池相关企业数量（单位:个）</w:t>
      </w:r>
    </w:p>
    <w:p w14:paraId="76D96F99">
      <w:pPr>
        <w:pStyle w:val="781"/>
        <w:ind w:firstLine="562"/>
        <w:rPr>
          <w:rFonts w:eastAsia="楷体_GB2312" w:cs="Times New Roman"/>
        </w:rPr>
      </w:pPr>
      <w:r>
        <w:rPr>
          <w:rFonts w:hint="eastAsia" w:eastAsia="楷体_GB2312" w:cs="Times New Roman"/>
          <w:b/>
        </w:rPr>
        <w:t>产业政策方面——</w:t>
      </w:r>
      <w:r>
        <w:rPr>
          <w:rFonts w:hint="eastAsia" w:eastAsia="楷体_GB2312" w:cs="Times New Roman"/>
        </w:rPr>
        <w:t>中国紧跟全球氢能产业发展的步伐，近年来相关部委密集出台政策，大力支持氢能产业的发展。《节能与新能源汽车产业发展规划（</w:t>
      </w:r>
      <w:r>
        <w:rPr>
          <w:rFonts w:eastAsia="楷体_GB2312" w:cs="Times New Roman"/>
        </w:rPr>
        <w:t>2012</w:t>
      </w:r>
      <w:r>
        <w:rPr>
          <w:rFonts w:hint="eastAsia" w:eastAsia="楷体_GB2312" w:cs="Times New Roman"/>
        </w:rPr>
        <w:t>—</w:t>
      </w:r>
      <w:r>
        <w:rPr>
          <w:rFonts w:eastAsia="楷体_GB2312" w:cs="Times New Roman"/>
        </w:rPr>
        <w:t>2020</w:t>
      </w:r>
      <w:r>
        <w:rPr>
          <w:rFonts w:hint="eastAsia" w:eastAsia="楷体_GB2312" w:cs="Times New Roman"/>
        </w:rPr>
        <w:t>年）》《国家创新驱动发展战略纲要》、《“十三五”国家战略性新兴产业发展规划》、《汽车产业中长期发展规划》等都将发展氢能和燃料电池产业列为重点任务，将燃料电池汽车列为重点支持领域，</w:t>
      </w:r>
      <w:r>
        <w:rPr>
          <w:rFonts w:hint="eastAsia" w:eastAsia="楷体_GB2312" w:cs="Times New Roman"/>
          <w:color w:val="auto"/>
        </w:rPr>
        <w:t>氢能产业正在被纳入中国国家能源战略体系。同时，我国积极推进各项国</w:t>
      </w:r>
      <w:r>
        <w:rPr>
          <w:rFonts w:hint="eastAsia" w:eastAsia="楷体_GB2312" w:cs="Times New Roman"/>
        </w:rPr>
        <w:t>家和行业标准，使氢能及氢燃料电池的发展有“标”可依。</w:t>
      </w:r>
    </w:p>
    <w:p w14:paraId="7E22E7D1">
      <w:pPr>
        <w:pStyle w:val="781"/>
        <w:ind w:firstLine="560"/>
        <w:rPr>
          <w:rFonts w:eastAsia="楷体_GB2312" w:cs="Times New Roman"/>
          <w:color w:val="0C0C0C" w:themeColor="text1" w:themeTint="F2"/>
        </w:rPr>
      </w:pPr>
      <w:r>
        <w:rPr>
          <w:rFonts w:hint="eastAsia" w:eastAsia="楷体_GB2312" w:cs="Times New Roman"/>
          <w:color w:val="0C0C0C" w:themeColor="text1" w:themeTint="F2"/>
        </w:rPr>
        <w:t>综上，中国氢产业化进程在加快，但产业链主要分布在氢燃料电池零部件及氢燃料电池汽车领域，氢能制备、储运、加注及氢燃料电池基础设施发展薄弱，与国际先进水平差距较大，关键材料、零部件依赖进口，相关关键技术仍有待突破。</w:t>
      </w:r>
      <w:r>
        <w:rPr>
          <w:rFonts w:eastAsia="楷体_GB2312" w:cs="Times New Roman"/>
          <w:color w:val="0C0C0C" w:themeColor="text1" w:themeTint="F2"/>
        </w:rPr>
        <w:t>当下，各地方政府正在加速布局氢能产业链，逐步完善基础配套设施。大同市作为能源革命“尖兵”，应尽快抢占能源变革发展先机、把握先发优势的战略机遇期，对氢能全产业链进行布局</w:t>
      </w:r>
      <w:r>
        <w:rPr>
          <w:rFonts w:hint="eastAsia" w:eastAsia="楷体_GB2312" w:cs="Times New Roman"/>
          <w:color w:val="0C0C0C" w:themeColor="text1" w:themeTint="F2"/>
        </w:rPr>
        <w:t>，</w:t>
      </w:r>
      <w:r>
        <w:rPr>
          <w:rFonts w:eastAsia="楷体_GB2312" w:cs="Times New Roman"/>
          <w:color w:val="0C0C0C" w:themeColor="text1" w:themeTint="F2"/>
        </w:rPr>
        <w:t>将大同市打造为东方“氢都”</w:t>
      </w:r>
      <w:r>
        <w:rPr>
          <w:rFonts w:hint="eastAsia" w:eastAsia="楷体_GB2312" w:cs="Times New Roman"/>
          <w:color w:val="0C0C0C" w:themeColor="text1" w:themeTint="F2"/>
        </w:rPr>
        <w:t>。</w:t>
      </w:r>
    </w:p>
    <w:p w14:paraId="5B82DF1C">
      <w:pPr>
        <w:pStyle w:val="4"/>
      </w:pPr>
      <w:bookmarkStart w:id="5" w:name="_Toc52377949"/>
      <w:r>
        <w:rPr>
          <w:rFonts w:hint="eastAsia"/>
        </w:rPr>
        <w:t>1.3</w:t>
      </w:r>
      <w:r>
        <w:t xml:space="preserve"> </w:t>
      </w:r>
      <w:r>
        <w:rPr>
          <w:rFonts w:hint="eastAsia"/>
        </w:rPr>
        <w:t>大同市发展氢能产业的必要性</w:t>
      </w:r>
      <w:bookmarkEnd w:id="5"/>
    </w:p>
    <w:p w14:paraId="61E84C17">
      <w:pPr>
        <w:pStyle w:val="5"/>
      </w:pPr>
      <w:r>
        <w:rPr>
          <w:rFonts w:hint="eastAsia"/>
        </w:rPr>
        <w:t>1.3.1 氢能产业是大同市争当能源革命“尖兵”的重要抓手</w:t>
      </w:r>
    </w:p>
    <w:p w14:paraId="3E3DD8C2">
      <w:pPr>
        <w:adjustRightInd w:val="0"/>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大同市是我国的煤都和能源基地，自新中国成立以来大同累计为国家贡献优质动力煤30多亿吨，支持着全国20多个省、市、自治区以及2800多家大中型企业，为全国经济发展、保障国家能源安全和改善人民生活做出了巨大贡献。近几年来，大同市能源工业规模化和集约化水平大幅提升，安全生产能力与产业水平明显提高。面对能源供需格局新变化、国际能源发展新趋势，国家提出了能源“四个革命、一个合作”战略。</w:t>
      </w:r>
    </w:p>
    <w:p w14:paraId="2470151E">
      <w:pPr>
        <w:adjustRightInd w:val="0"/>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2019年1月10日，大同市政府召开了能源革命“尖兵”2019·重大突破工程行动动员大会，会议指出，要牢牢把握能源革命的工作重点，通过大战、实战、决战，推动“能源革命·大同尖兵”继续深入，着力打造“氢都”和“新能源产业之都”，会议最后出台了《“能源革命尖兵”2019·重大突破工程行动方案》。</w:t>
      </w:r>
      <w:r>
        <w:rPr>
          <w:rFonts w:hint="eastAsia" w:ascii="Times New Roman" w:hAnsi="Times New Roman" w:eastAsia="楷体_GB2312" w:cs="Times New Roman"/>
          <w:sz w:val="28"/>
          <w:szCs w:val="28"/>
        </w:rPr>
        <w:t>2019年11月，大同市政府出台了</w:t>
      </w:r>
      <w:r>
        <w:rPr>
          <w:rFonts w:ascii="Times New Roman" w:hAnsi="Times New Roman" w:eastAsia="楷体_GB2312" w:cs="Times New Roman"/>
          <w:sz w:val="28"/>
          <w:szCs w:val="28"/>
        </w:rPr>
        <w:t>《大同能源革命综合改革试点行动方案》</w:t>
      </w:r>
      <w:r>
        <w:rPr>
          <w:rFonts w:hint="eastAsia" w:ascii="Times New Roman" w:hAnsi="Times New Roman" w:eastAsia="楷体_GB2312" w:cs="Times New Roman"/>
          <w:sz w:val="28"/>
          <w:szCs w:val="28"/>
        </w:rPr>
        <w:t>，提出，大同市要在提高能源供给体系质量效益、构建绿色能源产业体系、推行清洁低碳用能模式、加快能源科技成果转化、扩大能源对外合作等方面取得突破，努力实现从“煤都”到</w:t>
      </w:r>
      <w:r>
        <w:rPr>
          <w:rFonts w:hint="eastAsia" w:ascii="Times New Roman" w:hAnsi="Times New Roman" w:eastAsia="楷体_GB2312" w:cs="Times New Roman"/>
          <w:sz w:val="28"/>
          <w:szCs w:val="30"/>
        </w:rPr>
        <w:t>“氢都”和</w:t>
      </w:r>
      <w:r>
        <w:rPr>
          <w:rFonts w:hint="eastAsia" w:ascii="Times New Roman" w:hAnsi="Times New Roman" w:eastAsia="楷体_GB2312" w:cs="Times New Roman"/>
          <w:sz w:val="28"/>
          <w:szCs w:val="28"/>
        </w:rPr>
        <w:t>“新能源之都”的历史性跨越。在构建绿色能源产业体系</w:t>
      </w:r>
      <w:r>
        <w:rPr>
          <w:rFonts w:ascii="Times New Roman" w:hAnsi="Times New Roman" w:eastAsia="楷体_GB2312" w:cs="Times New Roman"/>
          <w:sz w:val="28"/>
          <w:szCs w:val="28"/>
        </w:rPr>
        <w:t>方面</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行动方案</w:t>
      </w:r>
      <w:r>
        <w:rPr>
          <w:rFonts w:hint="eastAsia" w:ascii="Times New Roman" w:hAnsi="Times New Roman" w:eastAsia="楷体_GB2312" w:cs="Times New Roman"/>
          <w:sz w:val="28"/>
          <w:szCs w:val="28"/>
        </w:rPr>
        <w:t xml:space="preserve">》强调，大同市要加快氢能制备、储运、加氢站及下游应用全产业链布局，统筹推进加氢站、氢燃料电池及配件、氢燃料汽车产业协调发展，加快陕汽、 重汽重载汽车“柴转氢”试点建设。 </w:t>
      </w:r>
    </w:p>
    <w:p w14:paraId="6D79F236">
      <w:pPr>
        <w:adjustRightInd w:val="0"/>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氢能是未来构建以清洁能源为主的多元能源供给系统的重要载体，氢能的开发与利用技术已经成为新一轮世界能源技术变革的重要方向。大同市煤炭资源及</w:t>
      </w:r>
      <w:r>
        <w:rPr>
          <w:rFonts w:ascii="Times New Roman" w:hAnsi="Times New Roman" w:eastAsia="楷体_GB2312" w:cs="Times New Roman"/>
          <w:sz w:val="28"/>
          <w:szCs w:val="28"/>
        </w:rPr>
        <w:t>风能和太阳能等可再生资源</w:t>
      </w:r>
      <w:r>
        <w:rPr>
          <w:rFonts w:hint="eastAsia" w:ascii="Times New Roman" w:hAnsi="Times New Roman" w:eastAsia="楷体_GB2312" w:cs="Times New Roman"/>
          <w:sz w:val="28"/>
          <w:szCs w:val="28"/>
        </w:rPr>
        <w:t>丰富、工业基础雄厚，通过煤制氢可以实现煤炭的清洁转化；通过电解水制氢技术可以实现</w:t>
      </w:r>
      <w:r>
        <w:rPr>
          <w:rFonts w:ascii="Times New Roman" w:hAnsi="Times New Roman" w:eastAsia="楷体_GB2312" w:cs="Times New Roman"/>
          <w:sz w:val="28"/>
          <w:szCs w:val="28"/>
        </w:rPr>
        <w:t>风能</w:t>
      </w:r>
      <w:r>
        <w:rPr>
          <w:rFonts w:hint="eastAsia" w:ascii="Times New Roman" w:hAnsi="Times New Roman" w:eastAsia="楷体_GB2312" w:cs="Times New Roman"/>
          <w:sz w:val="28"/>
          <w:szCs w:val="28"/>
        </w:rPr>
        <w:t>和</w:t>
      </w:r>
      <w:r>
        <w:rPr>
          <w:rFonts w:ascii="Times New Roman" w:hAnsi="Times New Roman" w:eastAsia="楷体_GB2312" w:cs="Times New Roman"/>
          <w:sz w:val="28"/>
          <w:szCs w:val="28"/>
        </w:rPr>
        <w:t>太阳能</w:t>
      </w:r>
      <w:r>
        <w:rPr>
          <w:rFonts w:hint="eastAsia" w:ascii="Times New Roman" w:hAnsi="Times New Roman" w:eastAsia="楷体_GB2312" w:cs="Times New Roman"/>
          <w:sz w:val="28"/>
          <w:szCs w:val="28"/>
        </w:rPr>
        <w:t>的</w:t>
      </w:r>
      <w:r>
        <w:rPr>
          <w:rFonts w:ascii="Times New Roman" w:hAnsi="Times New Roman" w:eastAsia="楷体_GB2312" w:cs="Times New Roman"/>
          <w:sz w:val="28"/>
          <w:szCs w:val="28"/>
        </w:rPr>
        <w:t>高效利用</w:t>
      </w:r>
      <w:r>
        <w:rPr>
          <w:rFonts w:hint="eastAsia" w:ascii="Times New Roman" w:hAnsi="Times New Roman" w:eastAsia="楷体_GB2312" w:cs="Times New Roman"/>
          <w:sz w:val="28"/>
          <w:szCs w:val="28"/>
        </w:rPr>
        <w:t>；通过氢燃料汽车的推广应用，可以在大同市构建绿色交通网络。可见，氢能产业与大同市能源革命的要求高度契合，是打造大同市能源革命“尖兵”和能源革命综合改革试点的重要抓手。</w:t>
      </w:r>
    </w:p>
    <w:p w14:paraId="785D2C6C">
      <w:pPr>
        <w:pStyle w:val="5"/>
      </w:pPr>
      <w:r>
        <w:rPr>
          <w:rFonts w:hint="eastAsia"/>
        </w:rPr>
        <w:t>1.3.2</w:t>
      </w:r>
      <w:r>
        <w:t xml:space="preserve"> </w:t>
      </w:r>
      <w:r>
        <w:rPr>
          <w:rFonts w:hint="eastAsia"/>
        </w:rPr>
        <w:t>氢能是助推大同市经济转型的重要机遇</w:t>
      </w:r>
    </w:p>
    <w:p w14:paraId="28143B0D">
      <w:pPr>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多年来，大同市一直致力于煤炭及相关产业的大力发展，形成了以煤炭、电力、化工产业为主的超重型的产业结构；煤炭、电力、化工产业地位相当牢固，在全部工业增加值中占85％左右，从未发生过根本性变化。这使得大同市整体工业经济呈现出初级化程度高，产业结构单一，对煤炭的依赖性过高，外向程度低对外贸易对本地生产总值拉动力不足等一系列的弊端。</w:t>
      </w:r>
    </w:p>
    <w:p w14:paraId="3F4CDEEC">
      <w:pPr>
        <w:pStyle w:val="57"/>
        <w:shd w:val="clear" w:color="auto" w:fill="FFFFFF"/>
        <w:spacing w:before="0" w:beforeAutospacing="0" w:after="0" w:afterAutospacing="0" w:line="480" w:lineRule="auto"/>
        <w:ind w:firstLine="480"/>
        <w:jc w:val="both"/>
        <w:rPr>
          <w:rFonts w:hint="default" w:ascii="Times New Roman" w:hAnsi="Times New Roman" w:eastAsia="楷体_GB2312"/>
          <w:color w:val="auto"/>
          <w:kern w:val="2"/>
          <w:sz w:val="28"/>
          <w:szCs w:val="28"/>
        </w:rPr>
      </w:pPr>
      <w:r>
        <w:rPr>
          <w:rFonts w:ascii="Times New Roman" w:hAnsi="Times New Roman" w:eastAsia="楷体_GB2312"/>
          <w:sz w:val="28"/>
          <w:szCs w:val="28"/>
        </w:rPr>
        <w:t>大同市这种以煤为主的资源型产业结构，越来越面临前所未有的挑战和困难。</w:t>
      </w:r>
      <w:r>
        <w:rPr>
          <w:rFonts w:ascii="Times New Roman" w:hAnsi="Times New Roman" w:eastAsia="楷体_GB2312"/>
          <w:bCs/>
          <w:sz w:val="28"/>
          <w:szCs w:val="28"/>
          <w:lang w:eastAsia="zh-TW"/>
        </w:rPr>
        <w:t>为了破解这种经济困局</w:t>
      </w:r>
      <w:r>
        <w:rPr>
          <w:rFonts w:ascii="Times New Roman" w:hAnsi="Times New Roman" w:eastAsia="楷体_GB2312"/>
          <w:bCs/>
          <w:sz w:val="28"/>
          <w:szCs w:val="28"/>
        </w:rPr>
        <w:t>，</w:t>
      </w:r>
      <w:r>
        <w:rPr>
          <w:rFonts w:ascii="Times New Roman" w:hAnsi="Times New Roman" w:eastAsia="楷体_GB2312"/>
          <w:color w:val="auto"/>
          <w:kern w:val="2"/>
          <w:sz w:val="28"/>
          <w:szCs w:val="28"/>
        </w:rPr>
        <w:t xml:space="preserve"> 2016年6月，大同市发布了《大同市国民经济和社会发展第十三个五年规划纲要》。规划明确指出，大同市要以“高碳能源低碳发展，黑色能源绿色发展”为原则，加快转变能源产业发展方式，调整优化能源结构，扎实推进大同新型综合能源基地建设；同时，大同市要大力发展现代煤化工、新材料、节能环保等优势替代产业，构建转型发展重要支柱产业。2020年4月22日，在大</w:t>
      </w:r>
      <w:r>
        <w:rPr>
          <w:rFonts w:ascii="Times New Roman" w:hAnsi="Times New Roman" w:eastAsia="楷体_GB2312"/>
          <w:sz w:val="28"/>
          <w:szCs w:val="28"/>
        </w:rPr>
        <w:t>同市第十五届人民代表大会第五次会议上，大同市市长武宏文做出的政府工作报告中提到，2020年大同市政府重点狠抓的“十大工程”，其中两项是围绕工业转型和能源革命展开的。强调了转型综改是大同走出资源型城市转型发展新路的关键一招，要牢牢把握大同资源禀赋，重点培育</w:t>
      </w:r>
      <w:r>
        <w:rPr>
          <w:rFonts w:ascii="Times New Roman" w:hAnsi="Times New Roman" w:eastAsia="楷体_GB2312"/>
          <w:bCs/>
          <w:sz w:val="28"/>
          <w:szCs w:val="28"/>
          <w:lang w:eastAsia="zh-TW"/>
        </w:rPr>
        <w:t>包括氢能、风电、光电等产业在内的十大产业，引领大同是全产业的改革发展。</w:t>
      </w:r>
    </w:p>
    <w:p w14:paraId="50F96A86">
      <w:pPr>
        <w:pStyle w:val="57"/>
        <w:shd w:val="clear" w:color="auto" w:fill="FFFFFF"/>
        <w:spacing w:before="0" w:beforeAutospacing="0" w:after="0" w:afterAutospacing="0" w:line="480" w:lineRule="auto"/>
        <w:ind w:firstLine="480"/>
        <w:jc w:val="both"/>
        <w:rPr>
          <w:rFonts w:hint="default" w:ascii="Times New Roman" w:hAnsi="Times New Roman" w:eastAsia="楷体_GB2312"/>
          <w:sz w:val="28"/>
          <w:szCs w:val="28"/>
        </w:rPr>
      </w:pPr>
      <w:r>
        <w:rPr>
          <w:rFonts w:ascii="Times New Roman" w:hAnsi="Times New Roman" w:eastAsia="楷体_GB2312"/>
          <w:sz w:val="28"/>
          <w:szCs w:val="28"/>
        </w:rPr>
        <w:t>随着经济转型政策在同市的不断推进，战略性新兴产业的不断壮大，大同市的产业结构不断优化，详见图1-3。2015年至2018年，全市非煤产业占规模以上工业比重由32.1%增长到56.1%，规模以上非煤企业数增加到206户，非煤产业已成为拉动全市工业高质量发展的主导力量。</w:t>
      </w:r>
    </w:p>
    <w:p w14:paraId="28F6B07F">
      <w:pPr>
        <w:pStyle w:val="57"/>
        <w:shd w:val="clear" w:color="auto" w:fill="FFFFFF"/>
        <w:spacing w:before="0" w:beforeAutospacing="0" w:after="0" w:afterAutospacing="0" w:line="480" w:lineRule="auto"/>
        <w:jc w:val="center"/>
        <w:rPr>
          <w:rFonts w:hint="default" w:ascii="Times New Roman" w:hAnsi="Times New Roman" w:eastAsia="楷体_GB2312"/>
          <w:sz w:val="28"/>
          <w:szCs w:val="28"/>
        </w:rPr>
      </w:pPr>
      <w:r>
        <w:rPr>
          <w:rFonts w:hint="default" w:ascii="Times New Roman" w:hAnsi="Times New Roman" w:eastAsia="楷体_GB2312"/>
          <w:sz w:val="28"/>
          <w:szCs w:val="28"/>
        </w:rPr>
        <w:drawing>
          <wp:inline distT="0" distB="0" distL="0" distR="0">
            <wp:extent cx="5433695" cy="2340610"/>
            <wp:effectExtent l="0" t="0" r="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695210" cy="2453240"/>
                    </a:xfrm>
                    <a:prstGeom prst="rect">
                      <a:avLst/>
                    </a:prstGeom>
                    <a:noFill/>
                  </pic:spPr>
                </pic:pic>
              </a:graphicData>
            </a:graphic>
          </wp:inline>
        </w:drawing>
      </w:r>
    </w:p>
    <w:p w14:paraId="4917367D">
      <w:pPr>
        <w:pStyle w:val="57"/>
        <w:shd w:val="clear" w:color="auto" w:fill="FFFFFF"/>
        <w:spacing w:before="0" w:beforeAutospacing="0" w:after="0" w:afterAutospacing="0" w:line="480" w:lineRule="auto"/>
        <w:jc w:val="center"/>
        <w:rPr>
          <w:rFonts w:hint="default" w:ascii="Times New Roman" w:hAnsi="Times New Roman" w:eastAsia="楷体_GB2312"/>
          <w:b/>
          <w:sz w:val="24"/>
          <w:szCs w:val="24"/>
        </w:rPr>
      </w:pPr>
      <w:r>
        <w:rPr>
          <w:rFonts w:ascii="Times New Roman" w:hAnsi="Times New Roman" w:eastAsia="楷体_GB2312"/>
          <w:b/>
          <w:sz w:val="24"/>
          <w:szCs w:val="24"/>
        </w:rPr>
        <w:t>图1-3 2015年-2019年7月大同市规模以上工业和非煤工业增长值增长率及占比</w:t>
      </w:r>
    </w:p>
    <w:p w14:paraId="6B882483">
      <w:pPr>
        <w:adjustRightInd w:val="0"/>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大同市拥有大量的煤炭资源以及丰富风能、光能，这对于氢能产业的发展可以说是先天优势。近几年内，大同市已在煤制氢、燃料电池系统、</w:t>
      </w:r>
      <w:r>
        <w:rPr>
          <w:rFonts w:ascii="Times New Roman" w:hAnsi="Times New Roman" w:eastAsia="楷体_GB2312" w:cs="Times New Roman"/>
          <w:sz w:val="28"/>
          <w:szCs w:val="28"/>
        </w:rPr>
        <w:t>燃料电池</w:t>
      </w:r>
      <w:r>
        <w:rPr>
          <w:rFonts w:hint="eastAsia" w:ascii="Times New Roman" w:hAnsi="Times New Roman" w:eastAsia="楷体_GB2312" w:cs="Times New Roman"/>
          <w:sz w:val="28"/>
          <w:szCs w:val="28"/>
        </w:rPr>
        <w:t>汽车</w:t>
      </w:r>
      <w:r>
        <w:rPr>
          <w:rFonts w:ascii="Times New Roman" w:hAnsi="Times New Roman" w:eastAsia="楷体_GB2312" w:cs="Times New Roman"/>
          <w:sz w:val="28"/>
          <w:szCs w:val="28"/>
        </w:rPr>
        <w:t>装备</w:t>
      </w:r>
      <w:r>
        <w:rPr>
          <w:rFonts w:hint="eastAsia" w:ascii="Times New Roman" w:hAnsi="Times New Roman" w:eastAsia="楷体_GB2312" w:cs="Times New Roman"/>
          <w:sz w:val="28"/>
          <w:szCs w:val="28"/>
        </w:rPr>
        <w:t>等产业上不断发力，努力抢抓氢能产业黄金发展期，提前布局氢能产业市场。另外，随着大同市风电、光电等新能源发电产业的不断完善和发展，未来将会发展为可再生资源发电-电解水煤制氢，这将会为氢能的制备提供一条“绿氢”产业链，真正实现氢能全产业的清洁无污染。大同市结合自身的氢源优势和产业基础优势，进行氢能全产业链的布局，将会为大同市经济结构转型和提升提供新的助力。</w:t>
      </w:r>
    </w:p>
    <w:p w14:paraId="252E64EB">
      <w:pPr>
        <w:pStyle w:val="5"/>
      </w:pPr>
      <w:r>
        <w:rPr>
          <w:rFonts w:hint="eastAsia"/>
        </w:rPr>
        <w:t>1.3.3</w:t>
      </w:r>
      <w:r>
        <w:t xml:space="preserve"> </w:t>
      </w:r>
      <w:r>
        <w:rPr>
          <w:rFonts w:hint="eastAsia"/>
        </w:rPr>
        <w:t>发展氢能是大同市打赢蓝天保卫战的重要举措</w:t>
      </w:r>
    </w:p>
    <w:p w14:paraId="2A58D4FA">
      <w:pPr>
        <w:widowControl/>
        <w:shd w:val="clear" w:color="auto" w:fill="FFFFFF"/>
        <w:ind w:left="120" w:right="120" w:firstLine="48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由煤炭生产和利用过程所造成的环境问题，已经越来越引起人们关注。面对这一环境问题，大同市瞄准资源型经济困局，扎实推进供给侧结构性改革，从产业结构、能源结构、运输结构及用地结构对症下药，强力破题。</w:t>
      </w:r>
    </w:p>
    <w:p w14:paraId="46154E38">
      <w:pPr>
        <w:widowControl/>
        <w:shd w:val="clear" w:color="auto" w:fill="FFFFFF"/>
        <w:ind w:left="120" w:right="120" w:firstLine="480"/>
        <w:rPr>
          <w:rFonts w:ascii="Times New Roman" w:hAnsi="Times New Roman" w:eastAsia="楷体_GB2312" w:cs="Times New Roman"/>
          <w:bCs/>
          <w:sz w:val="28"/>
          <w:szCs w:val="28"/>
        </w:rPr>
      </w:pPr>
      <w:r>
        <w:rPr>
          <w:rFonts w:hint="eastAsia" w:ascii="Times New Roman" w:hAnsi="Times New Roman" w:eastAsia="楷体_GB2312" w:cs="Times New Roman"/>
          <w:bCs/>
          <w:sz w:val="28"/>
          <w:szCs w:val="28"/>
        </w:rPr>
        <w:t>近年来，大同市持续加大对重点领域大气污染的治理力度，制定了一系列的整治措施。一是推进重点行业落后产能淘汰和过剩产能压减；二是持续开展“散乱污”企业的整治；三是实施工业企业深度治理，全市范围执行大气污染物特别排放限值</w:t>
      </w:r>
      <w:r>
        <w:rPr>
          <w:rFonts w:hint="eastAsia" w:ascii="Times New Roman" w:hAnsi="Times New Roman" w:eastAsia="楷体_GB2312" w:cs="Times New Roman"/>
          <w:sz w:val="28"/>
          <w:szCs w:val="28"/>
        </w:rPr>
        <w:t>；四是强化散煤治理，推进“禁煤区”的建造，开展燃煤锅炉淘汰、</w:t>
      </w:r>
      <w:r>
        <w:rPr>
          <w:rFonts w:ascii="Times New Roman" w:hAnsi="Times New Roman" w:eastAsia="楷体_GB2312" w:cs="Times New Roman"/>
          <w:sz w:val="28"/>
          <w:szCs w:val="28"/>
        </w:rPr>
        <w:t>煤改电及煤改气等冬季清洁取暖改造工程</w:t>
      </w:r>
      <w:r>
        <w:rPr>
          <w:rFonts w:hint="eastAsia" w:ascii="Times New Roman" w:hAnsi="Times New Roman" w:eastAsia="楷体_GB2312" w:cs="Times New Roman"/>
          <w:sz w:val="28"/>
          <w:szCs w:val="28"/>
        </w:rPr>
        <w:t>；五</w:t>
      </w:r>
      <w:r>
        <w:rPr>
          <w:rFonts w:hint="eastAsia" w:ascii="Times New Roman" w:hAnsi="Times New Roman" w:eastAsia="楷体_GB2312" w:cs="Times New Roman"/>
          <w:bCs/>
          <w:sz w:val="28"/>
          <w:szCs w:val="28"/>
        </w:rPr>
        <w:t>是持续淘汰老旧车辆，深入推进新能源车推广应用。至2019年，全市退出煤炭落后产能135万吨，煤炭先进产能比重占71.5%；生态环境部门依法取缔“散乱污”企业74家</w:t>
      </w:r>
      <w:r>
        <w:rPr>
          <w:rFonts w:hint="eastAsia" w:ascii="楷体" w:hAnsi="楷体" w:eastAsia="楷体" w:cs="宋体"/>
          <w:color w:val="333333"/>
          <w:spacing w:val="15"/>
          <w:kern w:val="0"/>
          <w:sz w:val="26"/>
          <w:szCs w:val="26"/>
        </w:rPr>
        <w:t>；</w:t>
      </w:r>
      <w:r>
        <w:rPr>
          <w:rFonts w:hint="eastAsia" w:ascii="Times New Roman" w:hAnsi="Times New Roman" w:eastAsia="楷体_GB2312" w:cs="Times New Roman"/>
          <w:bCs/>
          <w:sz w:val="28"/>
          <w:szCs w:val="28"/>
        </w:rPr>
        <w:t>57家无组织排放企业完成治理，20家企业完成超低排放以及特别排放限值改造；全市累计拆除燃煤供热锅炉948台、</w:t>
      </w:r>
      <w:r>
        <w:rPr>
          <w:rFonts w:ascii="Times New Roman" w:hAnsi="Times New Roman" w:eastAsia="楷体_GB2312" w:cs="Times New Roman"/>
          <w:bCs/>
          <w:sz w:val="28"/>
          <w:szCs w:val="28"/>
        </w:rPr>
        <w:t>烟囱738座</w:t>
      </w:r>
      <w:r>
        <w:rPr>
          <w:rFonts w:hint="eastAsia" w:ascii="Times New Roman" w:hAnsi="Times New Roman" w:eastAsia="楷体_GB2312" w:cs="Times New Roman"/>
          <w:bCs/>
          <w:sz w:val="28"/>
          <w:szCs w:val="28"/>
        </w:rPr>
        <w:t>，建成区集中供热面积9631万</w:t>
      </w:r>
      <w:r>
        <w:rPr>
          <w:rFonts w:ascii="Times New Roman" w:hAnsi="Times New Roman" w:eastAsia="楷体_GB2312" w:cs="Times New Roman"/>
          <w:bCs/>
          <w:sz w:val="28"/>
          <w:szCs w:val="28"/>
        </w:rPr>
        <w:t>m</w:t>
      </w:r>
      <w:r>
        <w:rPr>
          <w:rFonts w:ascii="Times New Roman" w:hAnsi="Times New Roman" w:eastAsia="楷体_GB2312" w:cs="Times New Roman"/>
          <w:bCs/>
          <w:sz w:val="28"/>
          <w:szCs w:val="28"/>
          <w:vertAlign w:val="superscript"/>
        </w:rPr>
        <w:t>2</w:t>
      </w:r>
      <w:r>
        <w:rPr>
          <w:rFonts w:hint="eastAsia" w:ascii="Times New Roman" w:hAnsi="Times New Roman" w:eastAsia="楷体_GB2312" w:cs="Times New Roman"/>
          <w:bCs/>
          <w:sz w:val="28"/>
          <w:szCs w:val="28"/>
        </w:rPr>
        <w:t>，集中供热覆盖率达到99.8%；全市共推广各类电动汽车1268辆，推广各类</w:t>
      </w:r>
      <w:r>
        <w:rPr>
          <w:rFonts w:hint="eastAsia" w:ascii="Times New Roman" w:hAnsi="Times New Roman" w:eastAsia="楷体_GB2312" w:cs="Times New Roman"/>
          <w:bCs/>
          <w:sz w:val="28"/>
          <w:szCs w:val="28"/>
          <w:lang w:eastAsia="zh-CN"/>
        </w:rPr>
        <w:t>天然气</w:t>
      </w:r>
      <w:r>
        <w:rPr>
          <w:rFonts w:hint="eastAsia" w:ascii="Times New Roman" w:hAnsi="Times New Roman" w:eastAsia="楷体_GB2312" w:cs="Times New Roman"/>
          <w:bCs/>
          <w:sz w:val="28"/>
          <w:szCs w:val="28"/>
        </w:rPr>
        <w:t>汽车6116辆，50辆氢燃料公交车正在试运营。</w:t>
      </w:r>
    </w:p>
    <w:p w14:paraId="3F49902F">
      <w:pPr>
        <w:widowControl/>
        <w:shd w:val="clear" w:color="auto" w:fill="FFFFFF"/>
        <w:ind w:left="120" w:leftChars="57" w:right="120" w:firstLine="560" w:firstLineChars="200"/>
        <w:rPr>
          <w:rFonts w:ascii="Times New Roman" w:hAnsi="Times New Roman" w:eastAsia="楷体_GB2312" w:cs="Times New Roman"/>
          <w:bCs/>
          <w:sz w:val="28"/>
          <w:szCs w:val="28"/>
        </w:rPr>
      </w:pPr>
      <w:r>
        <w:rPr>
          <w:rFonts w:hint="eastAsia" w:ascii="Times New Roman" w:hAnsi="Times New Roman" w:eastAsia="楷体_GB2312" w:cs="Times New Roman"/>
          <w:bCs/>
          <w:sz w:val="28"/>
          <w:szCs w:val="28"/>
        </w:rPr>
        <w:t>随着工业整改政策的不断推进以及污染治理力度的不断加大，大同市的空气质量有了很大的改善。大气主要污染物二氧化硫排放量由2010年</w:t>
      </w:r>
      <w:bookmarkStart w:id="161" w:name="_GoBack"/>
      <w:bookmarkEnd w:id="161"/>
      <w:r>
        <w:rPr>
          <w:rFonts w:hint="eastAsia" w:ascii="Times New Roman" w:hAnsi="Times New Roman" w:eastAsia="楷体_GB2312" w:cs="Times New Roman"/>
          <w:bCs/>
          <w:sz w:val="28"/>
          <w:szCs w:val="28"/>
        </w:rPr>
        <w:t>的15.6万吨，降到2019年的9.13万吨；氮氧化物排放量由2010年的15.53万吨，降到2019年的7.19万吨。2019年，全市空气质量优良天数达318天，优良比例为87.1%，</w:t>
      </w:r>
      <w:r>
        <w:rPr>
          <w:rFonts w:hint="eastAsia" w:ascii="Times New Roman" w:hAnsi="Times New Roman" w:eastAsia="楷体_GB2312" w:cs="Times New Roman"/>
          <w:sz w:val="28"/>
          <w:szCs w:val="28"/>
        </w:rPr>
        <w:t>空气质量综合指数（</w:t>
      </w:r>
      <w:r>
        <w:rPr>
          <w:rFonts w:hint="eastAsia" w:ascii="Times New Roman" w:hAnsi="Times New Roman" w:eastAsia="楷体_GB2312" w:cs="Times New Roman"/>
          <w:bCs/>
          <w:sz w:val="28"/>
          <w:szCs w:val="28"/>
        </w:rPr>
        <w:t>4.97</w:t>
      </w:r>
      <w:r>
        <w:rPr>
          <w:rFonts w:hint="eastAsia" w:ascii="Times New Roman" w:hAnsi="Times New Roman" w:eastAsia="楷体_GB2312" w:cs="Times New Roman"/>
          <w:sz w:val="28"/>
          <w:szCs w:val="28"/>
        </w:rPr>
        <w:t>）低于京津冀及周边地区平均水平</w:t>
      </w:r>
      <w:r>
        <w:rPr>
          <w:rFonts w:hint="eastAsia" w:ascii="Times New Roman" w:hAnsi="Times New Roman" w:eastAsia="楷体_GB2312" w:cs="Times New Roman"/>
          <w:bCs/>
          <w:sz w:val="28"/>
          <w:szCs w:val="28"/>
        </w:rPr>
        <w:t>。在看到成绩的同时，也必须清醒地看到：</w:t>
      </w:r>
      <w:r>
        <w:rPr>
          <w:rFonts w:hint="eastAsia" w:ascii="Times New Roman" w:hAnsi="Times New Roman" w:eastAsia="楷体_GB2312" w:cs="Times New Roman"/>
          <w:sz w:val="28"/>
          <w:szCs w:val="28"/>
        </w:rPr>
        <w:t>与同期相比，大同市空气质量出现了严重的反弹，成为了山西省反弹幅度（7.1%）最高城市</w:t>
      </w:r>
      <w:r>
        <w:rPr>
          <w:rFonts w:hint="eastAsia" w:ascii="Times New Roman" w:hAnsi="Times New Roman" w:eastAsia="楷体_GB2312" w:cs="Times New Roman"/>
          <w:bCs/>
          <w:sz w:val="28"/>
          <w:szCs w:val="28"/>
        </w:rPr>
        <w:t>，环境改善仍然压力巨大。</w:t>
      </w:r>
    </w:p>
    <w:p w14:paraId="46200F50">
      <w:pPr>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氢能作为清洁、高效、无二次污染的能源载体，可广泛应用于工业、建筑、交通、电力等行业。大同市通过建立氢能小区，进行氢气与天然气混烧、氢燃料电池固定电源和热电联产系统的推广和应用，为居民建筑供热、供电，降低小燃煤锅炉和民用燃煤供热带来的污染；氢能在交通领域的应用已经趋于成熟，大同市应该充分发挥氢燃料汽车的环保优势，在公交车、大巴车、物流车、专用车以及重卡车辆等进行推广和阶段性替换，降低交通运输行业大气污染物的排放；充分利用富尾气进行氢气的制备，减少尾气无组织排放和燃烧造成的环境污染及资源浪费；另外，推进氢能在炼铁、炼钢等领域的应用，减少大气污染物二氧化碳的排放量。因此，充分发挥大同市的氢源优势，推动氢能在大同的全面发展应用，是大同市打赢蓝天保卫战的重要举措。</w:t>
      </w:r>
    </w:p>
    <w:p w14:paraId="3C406CA8">
      <w:pPr>
        <w:adjustRightInd w:val="0"/>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综上所述，大同市大力发展氢能及氢燃料电池产业，既</w:t>
      </w:r>
      <w:r>
        <w:rPr>
          <w:rFonts w:ascii="Times New Roman" w:hAnsi="Times New Roman" w:eastAsia="楷体_GB2312" w:cs="Times New Roman"/>
          <w:sz w:val="28"/>
          <w:szCs w:val="28"/>
        </w:rPr>
        <w:t>契合</w:t>
      </w:r>
      <w:r>
        <w:rPr>
          <w:rFonts w:hint="eastAsia" w:ascii="Times New Roman" w:hAnsi="Times New Roman" w:eastAsia="楷体_GB2312" w:cs="Times New Roman"/>
          <w:sz w:val="28"/>
          <w:szCs w:val="28"/>
        </w:rPr>
        <w:t>大同市打造能源革命“尖兵”和实现能源革命综合改革战略要求，又是大同打赢蓝天保卫战的重要举措，也可以实现大同煤炭资源清洁利用和产业链的延伸，为大同的经济结构转型提供新的动力，具有重要的意义。</w:t>
      </w:r>
    </w:p>
    <w:p w14:paraId="0861230C">
      <w:pPr>
        <w:widowControl/>
        <w:jc w:val="left"/>
        <w:rPr>
          <w:rFonts w:ascii="Times New Roman" w:hAnsi="Times New Roman" w:eastAsia="楷体_GB2312" w:cs="Times New Roman"/>
          <w:sz w:val="28"/>
          <w:szCs w:val="28"/>
        </w:rPr>
      </w:pPr>
      <w:r>
        <w:rPr>
          <w:rFonts w:ascii="Times New Roman" w:hAnsi="Times New Roman" w:eastAsia="楷体_GB2312" w:cs="Times New Roman"/>
          <w:sz w:val="28"/>
          <w:szCs w:val="28"/>
        </w:rPr>
        <w:br w:type="page"/>
      </w:r>
    </w:p>
    <w:p w14:paraId="233E040E">
      <w:pPr>
        <w:pStyle w:val="2"/>
      </w:pPr>
      <w:bookmarkStart w:id="6" w:name="_Toc283460531"/>
      <w:bookmarkStart w:id="7" w:name="_Toc283459964"/>
      <w:bookmarkStart w:id="8" w:name="_Toc283712570"/>
      <w:bookmarkStart w:id="9" w:name="_Toc533150902"/>
      <w:bookmarkStart w:id="10" w:name="_Toc283460329"/>
      <w:bookmarkStart w:id="11" w:name="_Toc308882690"/>
      <w:bookmarkStart w:id="12" w:name="_Toc52377950"/>
      <w:r>
        <w:t>第二章</w:t>
      </w:r>
      <w:r>
        <w:rPr>
          <w:rFonts w:hint="eastAsia"/>
        </w:rPr>
        <w:t xml:space="preserve"> 大同市</w:t>
      </w:r>
      <w:r>
        <w:t>氢能产业</w:t>
      </w:r>
      <w:bookmarkEnd w:id="6"/>
      <w:bookmarkEnd w:id="7"/>
      <w:bookmarkEnd w:id="8"/>
      <w:bookmarkEnd w:id="9"/>
      <w:bookmarkEnd w:id="10"/>
      <w:bookmarkEnd w:id="11"/>
      <w:r>
        <w:t>现状及优势分析</w:t>
      </w:r>
      <w:bookmarkEnd w:id="12"/>
    </w:p>
    <w:p w14:paraId="091A7E40">
      <w:pPr>
        <w:keepNext/>
        <w:keepLines/>
        <w:spacing w:line="360" w:lineRule="auto"/>
        <w:ind w:left="819" w:hanging="819" w:hangingChars="240"/>
        <w:outlineLvl w:val="1"/>
        <w:rPr>
          <w:rFonts w:ascii="Times New Roman" w:hAnsi="Times New Roman" w:eastAsia="楷体_GB2312" w:cs="Times New Roman"/>
          <w:b/>
          <w:color w:val="1F497D" w:themeColor="text2"/>
          <w:spacing w:val="10"/>
          <w:kern w:val="28"/>
          <w:sz w:val="32"/>
          <w:szCs w:val="32"/>
        </w:rPr>
      </w:pPr>
      <w:bookmarkStart w:id="13" w:name="_Toc52377951"/>
      <w:bookmarkStart w:id="14" w:name="_Toc533150905"/>
      <w:bookmarkStart w:id="15" w:name="_Toc283459968"/>
      <w:bookmarkStart w:id="16" w:name="_Toc283460333"/>
      <w:bookmarkStart w:id="17" w:name="_Toc283712574"/>
      <w:bookmarkStart w:id="18" w:name="_Toc308882694"/>
      <w:bookmarkStart w:id="19" w:name="_Toc283460535"/>
      <w:r>
        <w:rPr>
          <w:rFonts w:ascii="Times New Roman" w:hAnsi="Times New Roman" w:eastAsia="楷体_GB2312" w:cs="Times New Roman"/>
          <w:b/>
          <w:color w:val="1F497D" w:themeColor="text2"/>
          <w:spacing w:val="10"/>
          <w:kern w:val="28"/>
          <w:sz w:val="32"/>
          <w:szCs w:val="32"/>
        </w:rPr>
        <w:t>2.</w:t>
      </w:r>
      <w:r>
        <w:rPr>
          <w:rFonts w:hint="eastAsia" w:ascii="Times New Roman" w:hAnsi="Times New Roman" w:eastAsia="楷体_GB2312" w:cs="Times New Roman"/>
          <w:b/>
          <w:color w:val="1F497D" w:themeColor="text2"/>
          <w:spacing w:val="10"/>
          <w:kern w:val="28"/>
          <w:sz w:val="32"/>
          <w:szCs w:val="32"/>
        </w:rPr>
        <w:t>1 大同市能源结构现状及优势</w:t>
      </w:r>
      <w:bookmarkEnd w:id="13"/>
    </w:p>
    <w:bookmarkEnd w:id="14"/>
    <w:bookmarkEnd w:id="15"/>
    <w:bookmarkEnd w:id="16"/>
    <w:bookmarkEnd w:id="17"/>
    <w:bookmarkEnd w:id="18"/>
    <w:bookmarkEnd w:id="19"/>
    <w:p w14:paraId="7D4794DB">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大同市是中国最大的煤炭能源基地之一，国家化工能源基地，有“煤都”之美誉。大同具有储量丰厚的煤炭资源，境内探明煤炭储量为312亿吨，2018年煤炭产量为11167.2万吨。大同市这一煤炭资源禀赋决定了以煤为原料生产替代石油和天然气制备氢气是不可或缺的。煤气化制氢具有技术成熟和制氢成本低的优点，是目前实现大宗氢气制备的重要技术选择。煤气化制氢的过程中不可避免的会产生二氧化碳，通过二氧化碳补集和封存技术（CCUS）可以实现二氧化碳的封存和资源化利，为煤制氢提供一条低碳环保的保障。在化工原料制氢方面，大同市拥有甲醇生产工业基础，可以进行分布式甲醇制氢，能够为大同市氢能产业的发展提供提一条更为灵活的制氢路线。</w:t>
      </w:r>
    </w:p>
    <w:p w14:paraId="770CE9C6">
      <w:pPr>
        <w:spacing w:line="360" w:lineRule="auto"/>
        <w:ind w:firstLine="560" w:firstLineChars="200"/>
        <w:rPr>
          <w:rFonts w:ascii="Times New Roman" w:hAnsi="Times New Roman" w:eastAsia="楷体_GB2312" w:cs="Times New Roman"/>
          <w:sz w:val="28"/>
          <w:szCs w:val="28"/>
        </w:rPr>
      </w:pPr>
      <w:r>
        <w:rPr>
          <w:rFonts w:ascii="Times New Roman" w:hAnsi="Times New Roman" w:eastAsia="楷体_GB2312" w:cs="Times New Roman"/>
          <w:sz w:val="28"/>
          <w:szCs w:val="30"/>
        </w:rPr>
        <w:t>大同市地处山西省最北部，风</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光资源十分丰富</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近年</w:t>
      </w:r>
      <w:r>
        <w:rPr>
          <w:rFonts w:hint="eastAsia" w:ascii="Times New Roman" w:hAnsi="Times New Roman" w:eastAsia="楷体_GB2312" w:cs="Times New Roman"/>
          <w:sz w:val="28"/>
          <w:szCs w:val="30"/>
        </w:rPr>
        <w:t>来，</w:t>
      </w:r>
      <w:r>
        <w:rPr>
          <w:rFonts w:ascii="Times New Roman" w:hAnsi="Times New Roman" w:eastAsia="楷体_GB2312" w:cs="Times New Roman"/>
          <w:sz w:val="28"/>
          <w:szCs w:val="30"/>
        </w:rPr>
        <w:t>大同市以争创全国新能源产业示范市为目标</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全力推动新能源产业发展</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加快推进风光电一体化。截</w:t>
      </w:r>
      <w:r>
        <w:rPr>
          <w:rFonts w:hint="eastAsia" w:ascii="Times New Roman" w:hAnsi="Times New Roman" w:eastAsia="楷体_GB2312" w:cs="Times New Roman"/>
          <w:sz w:val="28"/>
          <w:szCs w:val="30"/>
        </w:rPr>
        <w:t>至2019年年底，大同市可再生能源发电总装机容量为466万千瓦，占全市电力装机容量的35%。其中，风电188万千瓦，并网发电占全省装机容量的1/5，光伏268万千瓦，并网发电占全省装机容量1/3。</w:t>
      </w:r>
      <w:r>
        <w:rPr>
          <w:rFonts w:ascii="Times New Roman" w:hAnsi="Times New Roman" w:eastAsia="楷体_GB2312" w:cs="Times New Roman"/>
          <w:sz w:val="28"/>
          <w:szCs w:val="28"/>
        </w:rPr>
        <w:t>如果能够充分利用上述电力资源，通过水电解制氢获得氢源，</w:t>
      </w:r>
      <w:r>
        <w:rPr>
          <w:rFonts w:hint="eastAsia" w:ascii="Times New Roman" w:hAnsi="Times New Roman" w:eastAsia="楷体_GB2312" w:cs="Times New Roman"/>
          <w:sz w:val="28"/>
          <w:szCs w:val="28"/>
        </w:rPr>
        <w:t>能够</w:t>
      </w:r>
      <w:r>
        <w:rPr>
          <w:rFonts w:ascii="Times New Roman" w:hAnsi="Times New Roman" w:eastAsia="楷体_GB2312" w:cs="Times New Roman"/>
          <w:sz w:val="28"/>
          <w:szCs w:val="28"/>
        </w:rPr>
        <w:t>为氢气的制备提供一条更加环保的制备路线</w:t>
      </w:r>
      <w:r>
        <w:rPr>
          <w:rFonts w:hint="eastAsia" w:ascii="Times New Roman" w:hAnsi="Times New Roman" w:eastAsia="楷体_GB2312" w:cs="Times New Roman"/>
          <w:sz w:val="28"/>
          <w:szCs w:val="28"/>
        </w:rPr>
        <w:t>。</w:t>
      </w:r>
      <w:r>
        <w:rPr>
          <w:rFonts w:hint="eastAsia" w:ascii="Times New Roman" w:hAnsi="Times New Roman" w:eastAsia="楷体_GB2312" w:cs="Times New Roman"/>
          <w:sz w:val="28"/>
          <w:szCs w:val="30"/>
        </w:rPr>
        <w:t>2019年全年大同市风电发电量39亿千瓦时，光伏发电量38.1亿千瓦时，</w:t>
      </w:r>
      <w:r>
        <w:rPr>
          <w:rFonts w:hint="eastAsia" w:ascii="Times New Roman" w:hAnsi="Times New Roman" w:eastAsia="楷体_GB2312" w:cs="Times New Roman"/>
          <w:sz w:val="28"/>
          <w:szCs w:val="28"/>
        </w:rPr>
        <w:t>如果全部用于电解水制氢，则2019年可生产约16亿Nm</w:t>
      </w:r>
      <w:r>
        <w:rPr>
          <w:rFonts w:hint="eastAsia" w:ascii="Times New Roman" w:hAnsi="Times New Roman" w:eastAsia="楷体_GB2312" w:cs="Times New Roman"/>
          <w:sz w:val="28"/>
          <w:szCs w:val="28"/>
          <w:vertAlign w:val="superscript"/>
        </w:rPr>
        <w:t>3</w:t>
      </w:r>
      <w:r>
        <w:rPr>
          <w:rFonts w:hint="eastAsia" w:ascii="Times New Roman" w:hAnsi="Times New Roman" w:eastAsia="楷体_GB2312" w:cs="Times New Roman"/>
          <w:sz w:val="28"/>
          <w:szCs w:val="28"/>
        </w:rPr>
        <w:t>氢气，</w:t>
      </w:r>
      <w:r>
        <w:rPr>
          <w:rFonts w:ascii="Times New Roman" w:hAnsi="Times New Roman" w:eastAsia="楷体_GB2312" w:cs="Times New Roman"/>
          <w:sz w:val="28"/>
          <w:szCs w:val="28"/>
        </w:rPr>
        <w:t>市场前景巨大</w:t>
      </w:r>
      <w:r>
        <w:rPr>
          <w:rFonts w:hint="eastAsia" w:ascii="Times New Roman" w:hAnsi="Times New Roman" w:eastAsia="楷体_GB2312" w:cs="Times New Roman"/>
          <w:sz w:val="28"/>
          <w:szCs w:val="28"/>
        </w:rPr>
        <w:t>。</w:t>
      </w:r>
    </w:p>
    <w:p w14:paraId="335D8421">
      <w:pPr>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综上所述，作为中国“煤都”，大同市氢能来源广泛，既有大量的煤炭资源，可以通过煤转化大规模制氢；又有大量的光电、风电等可供电解水制氢的存量资源。结合大同市的能源结构现状，在氢能产业布局和发展过程中，多元化的制氢模式在不同的发展阶段、不同区域优势互补，能够为大同市氢能的发展提供可靠的氢源保障。</w:t>
      </w:r>
    </w:p>
    <w:p w14:paraId="0957608C">
      <w:pPr>
        <w:pStyle w:val="4"/>
        <w:rPr>
          <w:sz w:val="30"/>
        </w:rPr>
      </w:pPr>
      <w:bookmarkStart w:id="20" w:name="_Toc52377952"/>
      <w:r>
        <w:t xml:space="preserve">2.2 </w:t>
      </w:r>
      <w:r>
        <w:rPr>
          <w:rFonts w:hint="eastAsia"/>
        </w:rPr>
        <w:t>大同市产业</w:t>
      </w:r>
      <w:r>
        <w:t>现状及优势</w:t>
      </w:r>
      <w:bookmarkEnd w:id="20"/>
    </w:p>
    <w:p w14:paraId="1B104311">
      <w:pPr>
        <w:pStyle w:val="25"/>
        <w:spacing w:line="560" w:lineRule="exact"/>
        <w:ind w:firstLine="480" w:firstLineChars="200"/>
        <w:jc w:val="both"/>
        <w:rPr>
          <w:rFonts w:eastAsia="楷体_GB2312"/>
          <w:sz w:val="28"/>
          <w:szCs w:val="30"/>
        </w:rPr>
      </w:pPr>
      <w:r>
        <w:fldChar w:fldCharType="begin"/>
      </w:r>
      <w:r>
        <w:instrText xml:space="preserve"> HYPERLINK "https://baike.baidu.com/item/%E5%90%8C%E7%85%A4%E9%9B%86%E5%9B%A2/1979421" \t "_blank" </w:instrText>
      </w:r>
      <w:r>
        <w:fldChar w:fldCharType="separate"/>
      </w:r>
      <w:r>
        <w:rPr>
          <w:rFonts w:eastAsia="楷体_GB2312"/>
          <w:sz w:val="28"/>
          <w:szCs w:val="30"/>
        </w:rPr>
        <w:t>同煤集团</w:t>
      </w:r>
      <w:r>
        <w:rPr>
          <w:rFonts w:eastAsia="楷体_GB2312"/>
          <w:sz w:val="28"/>
          <w:szCs w:val="30"/>
        </w:rPr>
        <w:fldChar w:fldCharType="end"/>
      </w:r>
      <w:r>
        <w:rPr>
          <w:rFonts w:hint="eastAsia" w:eastAsia="楷体_GB2312"/>
          <w:sz w:val="28"/>
          <w:szCs w:val="30"/>
        </w:rPr>
        <w:t>作为</w:t>
      </w:r>
      <w:r>
        <w:rPr>
          <w:rFonts w:eastAsia="楷体_GB2312"/>
          <w:sz w:val="28"/>
          <w:szCs w:val="30"/>
        </w:rPr>
        <w:t>大同市</w:t>
      </w:r>
      <w:r>
        <w:rPr>
          <w:rFonts w:hint="eastAsia" w:eastAsia="楷体_GB2312"/>
          <w:sz w:val="28"/>
          <w:szCs w:val="30"/>
        </w:rPr>
        <w:t>的</w:t>
      </w:r>
      <w:r>
        <w:rPr>
          <w:rFonts w:eastAsia="楷体_GB2312"/>
          <w:sz w:val="28"/>
          <w:szCs w:val="30"/>
        </w:rPr>
        <w:t>主要煤炭企业</w:t>
      </w:r>
      <w:r>
        <w:rPr>
          <w:rFonts w:hint="eastAsia" w:eastAsia="楷体_GB2312"/>
          <w:sz w:val="28"/>
          <w:szCs w:val="30"/>
        </w:rPr>
        <w:t>，</w:t>
      </w:r>
      <w:r>
        <w:rPr>
          <w:rFonts w:eastAsia="楷体_GB2312"/>
          <w:sz w:val="28"/>
          <w:szCs w:val="30"/>
        </w:rPr>
        <w:t>拥有煤田面积6157平方公里，总储量892亿吨</w:t>
      </w:r>
      <w:r>
        <w:rPr>
          <w:rFonts w:hint="eastAsia" w:eastAsia="楷体_GB2312"/>
          <w:sz w:val="28"/>
          <w:szCs w:val="30"/>
        </w:rPr>
        <w:t>，</w:t>
      </w:r>
      <w:r>
        <w:rPr>
          <w:rFonts w:eastAsia="楷体_GB2312"/>
          <w:sz w:val="28"/>
          <w:szCs w:val="30"/>
        </w:rPr>
        <w:t>总资产在2000亿元以上，资金实力雄厚。</w:t>
      </w:r>
      <w:r>
        <w:fldChar w:fldCharType="begin"/>
      </w:r>
      <w:r>
        <w:instrText xml:space="preserve"> HYPERLINK "https://baike.baidu.com/item/%E5%90%8C%E7%85%A4%E9%9B%86%E5%9B%A2/1979421" \t "_blank" </w:instrText>
      </w:r>
      <w:r>
        <w:fldChar w:fldCharType="separate"/>
      </w:r>
      <w:r>
        <w:rPr>
          <w:rFonts w:eastAsia="楷体_GB2312"/>
          <w:sz w:val="28"/>
          <w:szCs w:val="30"/>
        </w:rPr>
        <w:t>同煤集团</w:t>
      </w:r>
      <w:r>
        <w:rPr>
          <w:rFonts w:eastAsia="楷体_GB2312"/>
          <w:sz w:val="28"/>
          <w:szCs w:val="30"/>
        </w:rPr>
        <w:fldChar w:fldCharType="end"/>
      </w:r>
      <w:r>
        <w:rPr>
          <w:rFonts w:eastAsia="楷体_GB2312"/>
          <w:sz w:val="28"/>
          <w:szCs w:val="30"/>
        </w:rPr>
        <w:t>的生产经营依托其所拥有</w:t>
      </w:r>
      <w:r>
        <w:rPr>
          <w:rFonts w:hint="eastAsia" w:eastAsia="楷体_GB2312"/>
          <w:sz w:val="28"/>
          <w:szCs w:val="30"/>
        </w:rPr>
        <w:t>的煤炭资源禀赋，除了主业的煤炭业务，还关注非煤业务，依托自身的煤化工产业优势，布局氢能产业。</w:t>
      </w:r>
      <w:r>
        <w:rPr>
          <w:rFonts w:eastAsia="楷体_GB2312"/>
          <w:sz w:val="28"/>
          <w:szCs w:val="30"/>
        </w:rPr>
        <w:t>同煤集团与中科院大化所签署了煤基洁净能源综合发展战略联盟备忘录，致力于大同煤基能源清洁利用</w:t>
      </w:r>
      <w:r>
        <w:rPr>
          <w:rFonts w:hint="eastAsia" w:eastAsia="楷体_GB2312"/>
          <w:sz w:val="28"/>
          <w:szCs w:val="30"/>
        </w:rPr>
        <w:t>（煤制氢）</w:t>
      </w:r>
      <w:r>
        <w:rPr>
          <w:rFonts w:eastAsia="楷体_GB2312"/>
          <w:sz w:val="28"/>
          <w:szCs w:val="30"/>
        </w:rPr>
        <w:t>相关技术的研发、试验、应用、推广</w:t>
      </w:r>
      <w:r>
        <w:rPr>
          <w:rFonts w:hint="eastAsia" w:eastAsia="楷体_GB2312"/>
          <w:sz w:val="28"/>
          <w:szCs w:val="30"/>
        </w:rPr>
        <w:t>。</w:t>
      </w:r>
      <w:r>
        <w:rPr>
          <w:rFonts w:eastAsia="楷体_GB2312"/>
          <w:sz w:val="28"/>
          <w:szCs w:val="30"/>
        </w:rPr>
        <w:t>近期，同煤集团利用已建成的60万吨/煤制甲醇项目开展 5000 吨/年</w:t>
      </w:r>
      <w:r>
        <w:rPr>
          <w:rFonts w:hint="eastAsia" w:eastAsia="楷体_GB2312"/>
          <w:sz w:val="28"/>
          <w:szCs w:val="30"/>
        </w:rPr>
        <w:t>弛</w:t>
      </w:r>
      <w:r>
        <w:rPr>
          <w:rFonts w:eastAsia="楷体_GB2312"/>
          <w:sz w:val="28"/>
          <w:szCs w:val="30"/>
        </w:rPr>
        <w:t>放气制氢项目，该项目技术成熟、绿色环保、成本低廉，建成后制氢量可满足当前</w:t>
      </w:r>
      <w:r>
        <w:rPr>
          <w:rFonts w:hint="eastAsia" w:eastAsia="楷体_GB2312"/>
          <w:sz w:val="28"/>
          <w:szCs w:val="30"/>
        </w:rPr>
        <w:t>大同市</w:t>
      </w:r>
      <w:r>
        <w:rPr>
          <w:rFonts w:eastAsia="楷体_GB2312"/>
          <w:sz w:val="28"/>
          <w:szCs w:val="30"/>
        </w:rPr>
        <w:t>乃至周边省份的高纯氢市场需求。</w:t>
      </w:r>
      <w:r>
        <w:rPr>
          <w:rFonts w:hint="eastAsia" w:eastAsia="楷体_GB2312"/>
          <w:sz w:val="28"/>
          <w:szCs w:val="30"/>
        </w:rPr>
        <w:t>同时，同煤集团在液氢的制备及储运方面也投入了大量的研究工作，以便更好地做大氢能产业。</w:t>
      </w:r>
    </w:p>
    <w:p w14:paraId="73316440">
      <w:pPr>
        <w:pStyle w:val="25"/>
        <w:spacing w:line="560" w:lineRule="exact"/>
        <w:ind w:firstLine="560" w:firstLineChars="200"/>
        <w:jc w:val="both"/>
        <w:rPr>
          <w:rFonts w:eastAsia="楷体_GB2312"/>
          <w:sz w:val="28"/>
          <w:szCs w:val="30"/>
        </w:rPr>
      </w:pPr>
      <w:r>
        <w:rPr>
          <w:rFonts w:hint="eastAsia" w:eastAsia="楷体_GB2312"/>
          <w:sz w:val="28"/>
          <w:szCs w:val="30"/>
        </w:rPr>
        <w:t>从“十二五”至今，大同市大力发展风力发电、光伏发电等新能源产业，实施国家首个光伏产业“领跑者计划”，建成全球首个熊猫光伏电站，已列入创建国家新能源示范城市名单。目前，大同市拥有光伏企业约28家，风电企业约32家，</w:t>
      </w:r>
      <w:r>
        <w:rPr>
          <w:rFonts w:eastAsia="楷体_GB2312"/>
          <w:sz w:val="28"/>
          <w:szCs w:val="30"/>
        </w:rPr>
        <w:t>打造了晋北风电基地、光伏平价上网+生态恢复示范项目、大同大昶移动能源有限公司铜铟镓硒薄膜电池项目、西安隆基集团 2GW 单晶硅太阳能组件及电池项目</w:t>
      </w:r>
      <w:r>
        <w:rPr>
          <w:rFonts w:hint="eastAsia" w:eastAsia="楷体_GB2312"/>
          <w:sz w:val="28"/>
          <w:szCs w:val="30"/>
        </w:rPr>
        <w:t>等</w:t>
      </w:r>
      <w:r>
        <w:rPr>
          <w:rFonts w:eastAsia="楷体_GB2312"/>
          <w:sz w:val="28"/>
          <w:szCs w:val="30"/>
        </w:rPr>
        <w:t>风光全产业链工程</w:t>
      </w:r>
      <w:r>
        <w:rPr>
          <w:rFonts w:hint="eastAsia" w:eastAsia="楷体_GB2312"/>
          <w:sz w:val="28"/>
          <w:szCs w:val="30"/>
        </w:rPr>
        <w:t>。截止到2019年底，大同市可再生能源发电总</w:t>
      </w:r>
      <w:r>
        <w:rPr>
          <w:rFonts w:eastAsia="楷体_GB2312"/>
          <w:sz w:val="28"/>
          <w:szCs w:val="30"/>
        </w:rPr>
        <w:t>装机</w:t>
      </w:r>
      <w:r>
        <w:rPr>
          <w:rFonts w:hint="eastAsia" w:eastAsia="楷体_GB2312"/>
          <w:sz w:val="28"/>
          <w:szCs w:val="30"/>
        </w:rPr>
        <w:t>容量为</w:t>
      </w:r>
      <w:r>
        <w:rPr>
          <w:rFonts w:eastAsia="楷体_GB2312"/>
          <w:sz w:val="28"/>
          <w:szCs w:val="30"/>
        </w:rPr>
        <w:t>466万千瓦，</w:t>
      </w:r>
      <w:r>
        <w:rPr>
          <w:rFonts w:hint="eastAsia" w:eastAsia="楷体_GB2312"/>
          <w:sz w:val="28"/>
          <w:szCs w:val="30"/>
        </w:rPr>
        <w:t>占全市电力装机容量的35%。为了更加有效的利用风能和太阳能，提高风电和光电的利用率，大同市已经进行了制氢与储能综合互补的规划，一期建成6×25MW分布式光伏电站和100MW风电电站，并配套建设10MW电解水制氢高压储氢系统，项目建成后每天可制取高纯度的氢气5000kg，可同时满足10座500kg加氢站的需求。</w:t>
      </w:r>
    </w:p>
    <w:p w14:paraId="52542DF9">
      <w:pPr>
        <w:spacing w:line="560" w:lineRule="exact"/>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在下游用氢方面，大同市汇集了新研氢能、雄韬氢雄、首航节能、中车集团、</w:t>
      </w:r>
      <w:r>
        <w:rPr>
          <w:rFonts w:hint="eastAsia" w:ascii="楷体" w:hAnsi="楷体" w:eastAsia="楷体"/>
          <w:sz w:val="28"/>
          <w:szCs w:val="28"/>
        </w:rPr>
        <w:t>陕汽</w:t>
      </w:r>
      <w:r>
        <w:rPr>
          <w:rFonts w:hint="eastAsia" w:ascii="Times New Roman" w:hAnsi="Times New Roman" w:eastAsia="楷体_GB2312" w:cs="Times New Roman"/>
          <w:sz w:val="28"/>
          <w:szCs w:val="30"/>
        </w:rPr>
        <w:t>等具备氢能技术优势的企业。其中，新研氢能首座自用加氢站已建成，年产1万套氢燃料电池项目也已经投产，22台搭载大同氢动力系统的物流车正在试运行。雄韬氢雄建成山西首条氢燃料电池发动机系统自动化生产线，投建的全国首座制氢加氢一体站已投入运营，累计制氢加氢7万多公斤，目前50辆氢燃料公交车已运营170多万公里，规划建设5万套氢燃料动力系统。首航节能规划五年内建设3座世界一流制氢工厂、10-20座加氢站、3-5座分布式氢能源电站项目。中车集团大同机车厂和陕汽新能源重卡研发基地，均发力大功率车辆氢燃料电池及车辆生产。</w:t>
      </w:r>
      <w:r>
        <w:rPr>
          <w:rFonts w:ascii="Times New Roman" w:hAnsi="Times New Roman" w:eastAsia="楷体_GB2312" w:cs="Times New Roman"/>
          <w:sz w:val="28"/>
          <w:szCs w:val="30"/>
        </w:rPr>
        <w:t>上述</w:t>
      </w:r>
      <w:r>
        <w:rPr>
          <w:rFonts w:hint="eastAsia" w:ascii="Times New Roman" w:hAnsi="Times New Roman" w:eastAsia="楷体_GB2312" w:cs="Times New Roman"/>
          <w:sz w:val="28"/>
          <w:szCs w:val="30"/>
        </w:rPr>
        <w:t>企业在</w:t>
      </w:r>
      <w:r>
        <w:rPr>
          <w:rFonts w:ascii="Times New Roman" w:hAnsi="Times New Roman" w:eastAsia="楷体_GB2312" w:cs="Times New Roman"/>
          <w:sz w:val="28"/>
          <w:szCs w:val="30"/>
        </w:rPr>
        <w:t>加氢站技术</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氢燃料电池技术</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氢燃料电池汽车的整车装备等方面已趋于成熟，能够为大同市氢能源的下游应用提供保障。</w:t>
      </w:r>
    </w:p>
    <w:p w14:paraId="265D58E5">
      <w:pPr>
        <w:adjustRightInd w:val="0"/>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在氢能产业技术研究及科研成果转化方面，创建了大同市能源改革科技创新产业园，园区内项目包括中国科学院洁净能源创新研究院大同成果转化基地、中科院全科盟新能源产业技术研究院、中以科技成果转移中心、大同未来能源馆、清华启迪能源科技中心等，为大同市氢能产业研究与发展提供了坚强的人才和智力支撑。在国内合作方面，重点面向京津冀、长三角、珠三角地区开展招商和项目合作，与北京中关村、上海漕河泾以及深圳等高新技术产业聚集区建立了长期合作机制。在国际合作方面，大同主要与以色列建立了合作关系，在大同市设立希伯来大学科技转移中心，加强中以双方互动，促进科技成果转化落地，助推大同市氢能产业的发展。</w:t>
      </w:r>
    </w:p>
    <w:p w14:paraId="2E4889C6">
      <w:pPr>
        <w:pStyle w:val="4"/>
      </w:pPr>
      <w:bookmarkStart w:id="21" w:name="_Toc18359815"/>
      <w:bookmarkStart w:id="22" w:name="_Toc52377953"/>
      <w:r>
        <w:t>2.3</w:t>
      </w:r>
      <w:bookmarkEnd w:id="21"/>
      <w:r>
        <w:t xml:space="preserve"> </w:t>
      </w:r>
      <w:r>
        <w:rPr>
          <w:rFonts w:hint="eastAsia"/>
        </w:rPr>
        <w:t>大同市</w:t>
      </w:r>
      <w:r>
        <w:t>政策现状及优势</w:t>
      </w:r>
      <w:bookmarkEnd w:id="22"/>
    </w:p>
    <w:p w14:paraId="0A335724">
      <w:pPr>
        <w:adjustRightInd w:val="0"/>
        <w:spacing w:line="360" w:lineRule="auto"/>
        <w:ind w:firstLine="560" w:firstLineChars="200"/>
        <w:rPr>
          <w:rFonts w:ascii="Times New Roman" w:hAnsi="Times New Roman" w:eastAsia="楷体_GB2312" w:cs="Times New Roman"/>
          <w:sz w:val="28"/>
          <w:szCs w:val="30"/>
        </w:rPr>
      </w:pPr>
      <w:r>
        <w:rPr>
          <w:rFonts w:ascii="Times New Roman" w:hAnsi="Times New Roman" w:eastAsia="楷体_GB2312" w:cs="Times New Roman"/>
          <w:sz w:val="28"/>
          <w:szCs w:val="30"/>
        </w:rPr>
        <w:t>山西省在2017年发布了《山西省招商引资重点产业指导目录》</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列出了当前山西省重点培育和引进的产业发展方向，其中目录第一项即为</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战略性新兴产业培育工程</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；关于氢能产业，</w:t>
      </w:r>
      <w:r>
        <w:rPr>
          <w:rFonts w:hint="eastAsia" w:ascii="Times New Roman" w:hAnsi="Times New Roman" w:eastAsia="楷体_GB2312" w:cs="Times New Roman"/>
          <w:sz w:val="28"/>
          <w:szCs w:val="30"/>
        </w:rPr>
        <w:t>《指导目录》</w:t>
      </w:r>
      <w:r>
        <w:rPr>
          <w:rFonts w:ascii="Times New Roman" w:hAnsi="Times New Roman" w:eastAsia="楷体_GB2312" w:cs="Times New Roman"/>
          <w:sz w:val="28"/>
          <w:szCs w:val="30"/>
        </w:rPr>
        <w:t>将山西省重点培育的技术进行了分类和布局。2019年4月30日，山西省工信厅对外发布了《山西省新能源汽车产业2019年行动计划》</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指出依托太原市、大同市、长治市等城市现有氢燃料电池汽车相关产业开展试点示范</w:t>
      </w:r>
      <w:r>
        <w:rPr>
          <w:rFonts w:hint="eastAsia" w:ascii="Times New Roman" w:hAnsi="Times New Roman" w:eastAsia="楷体_GB2312" w:cs="Times New Roman"/>
          <w:sz w:val="28"/>
          <w:szCs w:val="30"/>
        </w:rPr>
        <w:t>。</w:t>
      </w:r>
    </w:p>
    <w:p w14:paraId="63ED995F">
      <w:pPr>
        <w:pStyle w:val="57"/>
        <w:shd w:val="clear" w:color="auto" w:fill="FFFFFF"/>
        <w:spacing w:before="0" w:beforeAutospacing="0" w:after="0" w:afterAutospacing="0" w:line="480" w:lineRule="auto"/>
        <w:ind w:firstLine="480"/>
        <w:jc w:val="both"/>
        <w:rPr>
          <w:rFonts w:hint="default" w:ascii="Times New Roman" w:hAnsi="Times New Roman" w:eastAsia="楷体_GB2312"/>
          <w:color w:val="auto"/>
          <w:kern w:val="2"/>
          <w:sz w:val="28"/>
        </w:rPr>
      </w:pPr>
      <w:r>
        <w:rPr>
          <w:rFonts w:ascii="Times New Roman" w:hAnsi="Times New Roman" w:eastAsia="楷体_GB2312"/>
          <w:color w:val="auto"/>
          <w:kern w:val="2"/>
          <w:sz w:val="28"/>
        </w:rPr>
        <w:t>为加快促进新能源汽车产业提质增效、增强核心竞争力、实现高质量发展，做好新能源汽车推广应用工作，2018年2月27日，大同市财政局发布《关于调整完善新能源汽车推广应用财政补贴政策的通知》，要求不断提高燃料电池汽车技术门槛，新能源汽车产品纳入《新能源汽车推广应用推荐车型目录》后销售推广才可以申请补贴，同时提出要进一步加强推广应用监督管理，进一步优化推广应用环境。</w:t>
      </w:r>
      <w:r>
        <w:rPr>
          <w:rFonts w:hint="default" w:ascii="Times New Roman" w:hAnsi="Times New Roman" w:eastAsia="楷体_GB2312"/>
          <w:color w:val="auto"/>
          <w:kern w:val="2"/>
          <w:sz w:val="28"/>
        </w:rPr>
        <w:t>2018年12月9日，大同市举行了2018</w:t>
      </w:r>
      <w:r>
        <w:rPr>
          <w:rFonts w:ascii="Times New Roman" w:hAnsi="Times New Roman" w:eastAsia="楷体_GB2312"/>
          <w:color w:val="auto"/>
          <w:kern w:val="2"/>
          <w:sz w:val="28"/>
        </w:rPr>
        <w:t>“</w:t>
      </w:r>
      <w:r>
        <w:rPr>
          <w:rFonts w:hint="default" w:ascii="Times New Roman" w:hAnsi="Times New Roman" w:eastAsia="楷体_GB2312"/>
          <w:color w:val="auto"/>
          <w:kern w:val="2"/>
          <w:sz w:val="28"/>
        </w:rPr>
        <w:t>氢都</w:t>
      </w:r>
      <w:r>
        <w:rPr>
          <w:rFonts w:ascii="Times New Roman" w:hAnsi="Times New Roman" w:eastAsia="楷体_GB2312"/>
          <w:color w:val="auto"/>
          <w:kern w:val="2"/>
          <w:sz w:val="28"/>
        </w:rPr>
        <w:t>”</w:t>
      </w:r>
      <w:r>
        <w:rPr>
          <w:rFonts w:hint="default" w:ascii="Times New Roman" w:hAnsi="Times New Roman" w:eastAsia="楷体_GB2312"/>
          <w:color w:val="auto"/>
          <w:kern w:val="2"/>
          <w:sz w:val="28"/>
        </w:rPr>
        <w:t>大同氢能产业发展高峰论坛，大同市委副书记、市政府市长提出，大同市将发展氢能与燃料电池先导、储能蓄能、新能源汽车装备制造、光伏全产业链和煤炭清洁高效利用五大产业集群，全力建成大同市国际能源革命科技创新园、</w:t>
      </w:r>
      <w:r>
        <w:rPr>
          <w:rFonts w:ascii="Times New Roman" w:hAnsi="Times New Roman" w:eastAsia="楷体_GB2312"/>
          <w:color w:val="auto"/>
          <w:kern w:val="2"/>
          <w:sz w:val="28"/>
        </w:rPr>
        <w:t>“</w:t>
      </w:r>
      <w:r>
        <w:rPr>
          <w:rFonts w:hint="default" w:ascii="Times New Roman" w:hAnsi="Times New Roman" w:eastAsia="楷体_GB2312"/>
          <w:color w:val="auto"/>
          <w:kern w:val="2"/>
          <w:sz w:val="28"/>
        </w:rPr>
        <w:t>氢都</w:t>
      </w:r>
      <w:r>
        <w:rPr>
          <w:rFonts w:ascii="Times New Roman" w:hAnsi="Times New Roman" w:eastAsia="楷体_GB2312"/>
          <w:color w:val="auto"/>
          <w:kern w:val="2"/>
          <w:sz w:val="28"/>
        </w:rPr>
        <w:t>”</w:t>
      </w:r>
      <w:r>
        <w:rPr>
          <w:rFonts w:hint="default" w:ascii="Times New Roman" w:hAnsi="Times New Roman" w:eastAsia="楷体_GB2312"/>
          <w:color w:val="auto"/>
          <w:kern w:val="2"/>
          <w:sz w:val="28"/>
        </w:rPr>
        <w:t>新能源产业城。</w:t>
      </w:r>
    </w:p>
    <w:p w14:paraId="424647C0">
      <w:pPr>
        <w:adjustRightInd w:val="0"/>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可见，在大同市进行氢能源的规划和发展，可以推进本市资源的清洁化利用，迈向高端制造的进程；非常符合国家和山西省对大同市转型发展的要求，符合大同市调整优化能源消费结构、促进新能源产业提质的发展需求。山西省和大同市良好的政策环境，能够为氢能源及氢燃料汽车产业提供良好的发展环境，二者相互促进，相互保障。</w:t>
      </w:r>
    </w:p>
    <w:p w14:paraId="5F0A0FFA">
      <w:pPr>
        <w:pStyle w:val="4"/>
      </w:pPr>
      <w:bookmarkStart w:id="23" w:name="_Toc18359816"/>
      <w:bookmarkStart w:id="24" w:name="_Toc52377954"/>
      <w:r>
        <w:t>2.4 大同市氢能源发展存在的问题</w:t>
      </w:r>
      <w:bookmarkEnd w:id="23"/>
      <w:bookmarkEnd w:id="24"/>
    </w:p>
    <w:p w14:paraId="38A4F297">
      <w:pPr>
        <w:spacing w:line="560" w:lineRule="exact"/>
        <w:ind w:firstLine="562" w:firstLineChars="200"/>
        <w:rPr>
          <w:rFonts w:ascii="Times New Roman" w:hAnsi="Times New Roman" w:eastAsia="楷体" w:cs="Times New Roman"/>
          <w:b/>
          <w:sz w:val="28"/>
          <w:szCs w:val="28"/>
        </w:rPr>
      </w:pPr>
      <w:r>
        <w:rPr>
          <w:rFonts w:hint="eastAsia" w:ascii="Times New Roman" w:hAnsi="Times New Roman" w:eastAsia="楷体" w:cs="Times New Roman"/>
          <w:b/>
          <w:sz w:val="28"/>
          <w:szCs w:val="28"/>
        </w:rPr>
        <w:t>（1）</w:t>
      </w:r>
      <w:r>
        <w:rPr>
          <w:rFonts w:ascii="Times New Roman" w:hAnsi="Times New Roman" w:eastAsia="楷体" w:cs="Times New Roman"/>
          <w:b/>
          <w:bCs/>
          <w:sz w:val="28"/>
          <w:szCs w:val="28"/>
        </w:rPr>
        <w:t>产业聚集效应较弱</w:t>
      </w:r>
    </w:p>
    <w:p w14:paraId="6F311CB1">
      <w:pPr>
        <w:spacing w:line="360" w:lineRule="auto"/>
        <w:ind w:firstLine="560" w:firstLineChars="200"/>
        <w:rPr>
          <w:rFonts w:ascii="Times New Roman" w:hAnsi="Times New Roman" w:eastAsia="楷体_GB2312" w:cs="Times New Roman"/>
          <w:sz w:val="28"/>
          <w:szCs w:val="30"/>
        </w:rPr>
      </w:pPr>
      <w:r>
        <w:rPr>
          <w:rFonts w:ascii="Times New Roman" w:hAnsi="Times New Roman" w:eastAsia="楷体_GB2312" w:cs="Times New Roman"/>
          <w:sz w:val="28"/>
          <w:szCs w:val="30"/>
        </w:rPr>
        <w:t>氢能产业还处于起步阶段，氢能产业链还在构建过程中，部分环节还需进一步完善，氢能产业上下游企业之间的联系较弱，制氢企业氢气的下游企业供给方向不明，氢气储运装备产品的生产、制造、研发、示范仍未广泛开展。</w:t>
      </w:r>
      <w:bookmarkStart w:id="25" w:name="_Toc15471569"/>
      <w:bookmarkStart w:id="26" w:name="_Toc15460517"/>
    </w:p>
    <w:bookmarkEnd w:id="25"/>
    <w:bookmarkEnd w:id="26"/>
    <w:p w14:paraId="1E8F6EBC">
      <w:pPr>
        <w:spacing w:line="560" w:lineRule="exact"/>
        <w:ind w:firstLine="562" w:firstLineChars="200"/>
        <w:rPr>
          <w:rFonts w:ascii="Times New Roman" w:hAnsi="Times New Roman" w:eastAsia="楷体" w:cs="Times New Roman"/>
          <w:b/>
          <w:bCs/>
          <w:sz w:val="28"/>
          <w:szCs w:val="28"/>
        </w:rPr>
      </w:pPr>
      <w:bookmarkStart w:id="27" w:name="_Toc15460518"/>
      <w:bookmarkStart w:id="28" w:name="_Toc15471570"/>
      <w:r>
        <w:rPr>
          <w:rFonts w:ascii="Times New Roman" w:hAnsi="Times New Roman" w:eastAsia="楷体" w:cs="Times New Roman"/>
          <w:b/>
          <w:bCs/>
          <w:sz w:val="28"/>
          <w:szCs w:val="28"/>
        </w:rPr>
        <w:t>（</w:t>
      </w:r>
      <w:r>
        <w:rPr>
          <w:rFonts w:hint="eastAsia" w:ascii="Times New Roman" w:hAnsi="Times New Roman" w:eastAsia="楷体" w:cs="Times New Roman"/>
          <w:b/>
          <w:bCs/>
          <w:sz w:val="28"/>
          <w:szCs w:val="28"/>
        </w:rPr>
        <w:t>2</w:t>
      </w:r>
      <w:r>
        <w:rPr>
          <w:rFonts w:ascii="Times New Roman" w:hAnsi="Times New Roman" w:eastAsia="楷体" w:cs="Times New Roman"/>
          <w:b/>
          <w:bCs/>
          <w:sz w:val="28"/>
          <w:szCs w:val="28"/>
        </w:rPr>
        <w:t>）区域协作有待加强</w:t>
      </w:r>
      <w:bookmarkEnd w:id="27"/>
      <w:bookmarkEnd w:id="28"/>
    </w:p>
    <w:p w14:paraId="53C02500">
      <w:pPr>
        <w:spacing w:line="360" w:lineRule="auto"/>
        <w:ind w:firstLine="560" w:firstLineChars="200"/>
        <w:rPr>
          <w:rFonts w:ascii="Times New Roman" w:hAnsi="Times New Roman" w:eastAsia="楷体_GB2312" w:cs="Times New Roman"/>
          <w:sz w:val="28"/>
          <w:szCs w:val="30"/>
        </w:rPr>
      </w:pPr>
      <w:r>
        <w:rPr>
          <w:rFonts w:ascii="Times New Roman" w:hAnsi="Times New Roman" w:eastAsia="楷体_GB2312" w:cs="Times New Roman"/>
          <w:sz w:val="28"/>
          <w:szCs w:val="30"/>
        </w:rPr>
        <w:t>现有氢能企业布局分散，缺少区域氢能产业协同总体规划，企业间无法有效协作联动，各环节的研发活动趋于封闭，资源不能共享，依靠单打独斗难以突破规模化量产的技术屏障，需支持和鼓励产业内相关企业之间的协作，不断提升产业集群发展水平，提高区域整体产业水平。</w:t>
      </w:r>
      <w:bookmarkStart w:id="29" w:name="_Toc15471571"/>
      <w:bookmarkStart w:id="30" w:name="_Toc15460519"/>
    </w:p>
    <w:p w14:paraId="76D97FCE">
      <w:pPr>
        <w:spacing w:line="560" w:lineRule="exact"/>
        <w:ind w:firstLine="562" w:firstLineChars="200"/>
        <w:rPr>
          <w:rFonts w:ascii="Times New Roman" w:hAnsi="Times New Roman" w:eastAsia="楷体" w:cs="Times New Roman"/>
          <w:b/>
          <w:bCs/>
          <w:sz w:val="28"/>
          <w:szCs w:val="28"/>
        </w:rPr>
      </w:pPr>
      <w:r>
        <w:rPr>
          <w:rFonts w:ascii="Times New Roman" w:hAnsi="Times New Roman" w:eastAsia="楷体" w:cs="Times New Roman"/>
          <w:b/>
          <w:sz w:val="28"/>
          <w:szCs w:val="28"/>
        </w:rPr>
        <w:t>（</w:t>
      </w:r>
      <w:r>
        <w:rPr>
          <w:rFonts w:hint="eastAsia" w:ascii="Times New Roman" w:hAnsi="Times New Roman" w:eastAsia="楷体" w:cs="Times New Roman"/>
          <w:b/>
          <w:sz w:val="28"/>
          <w:szCs w:val="28"/>
        </w:rPr>
        <w:t>3</w:t>
      </w:r>
      <w:r>
        <w:rPr>
          <w:rFonts w:ascii="Times New Roman" w:hAnsi="Times New Roman" w:eastAsia="楷体" w:cs="Times New Roman"/>
          <w:b/>
          <w:sz w:val="28"/>
          <w:szCs w:val="28"/>
        </w:rPr>
        <w:t>）</w:t>
      </w:r>
      <w:r>
        <w:rPr>
          <w:rFonts w:ascii="Times New Roman" w:hAnsi="Times New Roman" w:eastAsia="楷体" w:cs="Times New Roman"/>
          <w:b/>
          <w:bCs/>
          <w:sz w:val="28"/>
          <w:szCs w:val="28"/>
        </w:rPr>
        <w:t>企业规模亟待培育</w:t>
      </w:r>
    </w:p>
    <w:p w14:paraId="2D588D66">
      <w:pPr>
        <w:spacing w:line="360" w:lineRule="auto"/>
        <w:ind w:firstLine="560" w:firstLineChars="200"/>
        <w:rPr>
          <w:rFonts w:ascii="Times New Roman" w:hAnsi="Times New Roman" w:eastAsia="楷体_GB2312" w:cs="Times New Roman"/>
          <w:sz w:val="28"/>
          <w:szCs w:val="30"/>
        </w:rPr>
      </w:pPr>
      <w:r>
        <w:rPr>
          <w:rFonts w:ascii="Times New Roman" w:hAnsi="Times New Roman" w:eastAsia="楷体_GB2312" w:cs="Times New Roman"/>
          <w:sz w:val="28"/>
          <w:szCs w:val="30"/>
        </w:rPr>
        <w:t>除了拥有同煤集团5000吨/年</w:t>
      </w:r>
      <w:r>
        <w:rPr>
          <w:rFonts w:hint="eastAsia" w:ascii="Times New Roman" w:hAnsi="Times New Roman" w:eastAsia="楷体_GB2312" w:cs="Times New Roman"/>
          <w:sz w:val="28"/>
          <w:szCs w:val="30"/>
        </w:rPr>
        <w:t>弛</w:t>
      </w:r>
      <w:r>
        <w:rPr>
          <w:rFonts w:ascii="Times New Roman" w:hAnsi="Times New Roman" w:eastAsia="楷体_GB2312" w:cs="Times New Roman"/>
          <w:sz w:val="28"/>
          <w:szCs w:val="30"/>
        </w:rPr>
        <w:t>放气制氢、新研氢能、雄韬氢雄三家企业外，较少有成规模的氢能相关企业，特别是在储运氢环节，大同目前仍属于空白阶段。氢燃料电池汽车环节，本地陕汽大同专用汽车有限公司、大同电力机车有限公司拥有国内先进的专用车研发能力和综合检车线，但是目前尚未真正涉及氢燃料电池汽车领域，应将相关氢能发展意向尽快落实为具体项目。</w:t>
      </w:r>
    </w:p>
    <w:p w14:paraId="6A6C3EA7">
      <w:pPr>
        <w:spacing w:line="560" w:lineRule="exact"/>
        <w:ind w:firstLine="562" w:firstLineChars="200"/>
        <w:rPr>
          <w:rFonts w:ascii="Times New Roman" w:hAnsi="Times New Roman" w:eastAsia="楷体" w:cs="Times New Roman"/>
          <w:b/>
          <w:bCs/>
          <w:sz w:val="28"/>
          <w:szCs w:val="28"/>
        </w:rPr>
      </w:pPr>
      <w:r>
        <w:rPr>
          <w:rFonts w:ascii="Times New Roman" w:hAnsi="Times New Roman" w:eastAsia="楷体" w:cs="Times New Roman"/>
          <w:b/>
          <w:bCs/>
          <w:sz w:val="28"/>
          <w:szCs w:val="28"/>
        </w:rPr>
        <w:t>（4）研发创新竞争力不足</w:t>
      </w:r>
      <w:bookmarkEnd w:id="29"/>
      <w:bookmarkEnd w:id="30"/>
    </w:p>
    <w:p w14:paraId="515931F9">
      <w:pPr>
        <w:spacing w:line="360" w:lineRule="auto"/>
        <w:ind w:firstLine="560" w:firstLineChars="200"/>
        <w:rPr>
          <w:rFonts w:ascii="Times New Roman" w:hAnsi="Times New Roman" w:eastAsia="楷体_GB2312" w:cs="Times New Roman"/>
          <w:sz w:val="28"/>
          <w:szCs w:val="30"/>
        </w:rPr>
      </w:pPr>
      <w:r>
        <w:rPr>
          <w:rFonts w:ascii="Times New Roman" w:hAnsi="Times New Roman" w:eastAsia="楷体_GB2312" w:cs="Times New Roman"/>
          <w:sz w:val="28"/>
          <w:szCs w:val="30"/>
        </w:rPr>
        <w:t>目前大同氢能企业核心技术缺少变革性的自主创新，与国外先进技术存在代差，亟需引导和鼓励氢能企业开展自主创新，通过技术创新提升氢能产业竞争力。在氢气提纯、储氢材料与装备、加氢站装备制造等领域，与国际先进技术存在一定的差距；在氢燃料电池领域，核心技术和关键零部件仍受制于国外领军企业，规模生产和市场应用还有较大距离。</w:t>
      </w:r>
    </w:p>
    <w:p w14:paraId="3B10D57A">
      <w:pPr>
        <w:pStyle w:val="4"/>
      </w:pPr>
      <w:bookmarkStart w:id="31" w:name="_Toc18359817"/>
      <w:bookmarkStart w:id="32" w:name="_Toc52377955"/>
      <w:r>
        <w:t xml:space="preserve">2.5 </w:t>
      </w:r>
      <w:r>
        <w:rPr>
          <w:rFonts w:hint="eastAsia"/>
        </w:rPr>
        <w:t>大同市</w:t>
      </w:r>
      <w:r>
        <w:t>氢能产业发展方向</w:t>
      </w:r>
      <w:bookmarkEnd w:id="31"/>
      <w:bookmarkEnd w:id="32"/>
    </w:p>
    <w:p w14:paraId="33FB8844">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氢能源产业链上游是氢气的制备，常见的制氢技术主要有热化学重整、电解水和光解水等；中游是氢气的储运环节，主要技术方式包括高压气态、低温液态、固体材料和有机液体储氢；下游是氢气的应用环节，氢能的应用可以渗透到传统能源的各个方面，包括交通运输、工业燃料、发电等。通过对大同市</w:t>
      </w:r>
      <w:r>
        <w:rPr>
          <w:rFonts w:ascii="Times New Roman" w:hAnsi="Times New Roman" w:eastAsia="楷体_GB2312" w:cs="Times New Roman"/>
          <w:sz w:val="28"/>
          <w:szCs w:val="30"/>
        </w:rPr>
        <w:t>资源禀赋</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氢能产业的基础优势</w:t>
      </w:r>
      <w:r>
        <w:rPr>
          <w:rFonts w:hint="eastAsia" w:ascii="Times New Roman" w:hAnsi="Times New Roman" w:eastAsia="楷体_GB2312" w:cs="Times New Roman"/>
          <w:sz w:val="28"/>
          <w:szCs w:val="30"/>
        </w:rPr>
        <w:t>和涉氢企业现状的</w:t>
      </w:r>
      <w:r>
        <w:rPr>
          <w:rFonts w:ascii="Times New Roman" w:hAnsi="Times New Roman" w:eastAsia="楷体_GB2312" w:cs="Times New Roman"/>
          <w:sz w:val="28"/>
          <w:szCs w:val="30"/>
        </w:rPr>
        <w:t>分析</w:t>
      </w:r>
      <w:r>
        <w:rPr>
          <w:rFonts w:hint="eastAsia" w:ascii="Times New Roman" w:hAnsi="Times New Roman" w:eastAsia="楷体_GB2312" w:cs="Times New Roman"/>
          <w:sz w:val="28"/>
          <w:szCs w:val="30"/>
        </w:rPr>
        <w:t>，准确找到大同市</w:t>
      </w:r>
      <w:r>
        <w:rPr>
          <w:rFonts w:ascii="Times New Roman" w:hAnsi="Times New Roman" w:eastAsia="楷体_GB2312" w:cs="Times New Roman"/>
          <w:sz w:val="28"/>
          <w:szCs w:val="30"/>
        </w:rPr>
        <w:t>氢能产业发展的重点方向</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为大同市氢能产业制定适合的发展路线</w:t>
      </w:r>
      <w:r>
        <w:rPr>
          <w:rFonts w:hint="eastAsia" w:ascii="Times New Roman" w:hAnsi="Times New Roman" w:eastAsia="楷体_GB2312" w:cs="Times New Roman"/>
          <w:sz w:val="28"/>
          <w:szCs w:val="30"/>
        </w:rPr>
        <w:t>，将有助于大同市实现从“煤都”向“氢都”的转变。</w:t>
      </w:r>
    </w:p>
    <w:p w14:paraId="5E2DC638">
      <w:pPr>
        <w:spacing w:line="360" w:lineRule="auto"/>
        <w:jc w:val="center"/>
        <w:rPr>
          <w:rFonts w:ascii="Times New Roman" w:hAnsi="Times New Roman" w:eastAsia="楷体_GB2312" w:cs="Times New Roman"/>
          <w:sz w:val="28"/>
          <w:szCs w:val="30"/>
        </w:rPr>
      </w:pPr>
      <w:r>
        <w:rPr>
          <w:rFonts w:ascii="Times New Roman" w:hAnsi="Times New Roman" w:eastAsia="楷体_GB2312" w:cs="Times New Roman"/>
          <w:sz w:val="28"/>
          <w:szCs w:val="30"/>
        </w:rPr>
        <w:drawing>
          <wp:inline distT="0" distB="0" distL="0" distR="0">
            <wp:extent cx="5934075" cy="334645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951256" cy="3356604"/>
                    </a:xfrm>
                    <a:prstGeom prst="rect">
                      <a:avLst/>
                    </a:prstGeom>
                    <a:noFill/>
                  </pic:spPr>
                </pic:pic>
              </a:graphicData>
            </a:graphic>
          </wp:inline>
        </w:drawing>
      </w:r>
    </w:p>
    <w:p w14:paraId="6D64C513">
      <w:pPr>
        <w:spacing w:line="360" w:lineRule="auto"/>
        <w:ind w:firstLine="482" w:firstLineChars="200"/>
        <w:jc w:val="center"/>
        <w:rPr>
          <w:rFonts w:ascii="Times New Roman" w:hAnsi="Times New Roman" w:eastAsia="楷体_GB2312" w:cs="Times New Roman"/>
          <w:b/>
          <w:bCs/>
          <w:sz w:val="24"/>
          <w:szCs w:val="24"/>
        </w:rPr>
      </w:pPr>
      <w:r>
        <w:rPr>
          <w:rFonts w:hint="eastAsia" w:ascii="Times New Roman" w:hAnsi="Times New Roman" w:eastAsia="楷体_GB2312" w:cs="Times New Roman"/>
          <w:b/>
          <w:bCs/>
          <w:sz w:val="24"/>
          <w:szCs w:val="24"/>
        </w:rPr>
        <w:t>图2-1氢能产业链</w:t>
      </w:r>
    </w:p>
    <w:p w14:paraId="61D09363">
      <w:pPr>
        <w:pStyle w:val="5"/>
      </w:pPr>
      <w:r>
        <w:rPr>
          <w:rFonts w:hint="eastAsia"/>
        </w:rPr>
        <w:t>2.5.1 制氢产业发展方向</w:t>
      </w:r>
    </w:p>
    <w:p w14:paraId="6FE045CA">
      <w:pPr>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近、中期</w:t>
      </w:r>
      <w:r>
        <w:rPr>
          <w:rFonts w:hint="eastAsia" w:ascii="Times New Roman" w:hAnsi="Times New Roman" w:eastAsia="楷体_GB2312" w:cs="Times New Roman"/>
          <w:b/>
          <w:bCs/>
          <w:sz w:val="28"/>
          <w:szCs w:val="30"/>
        </w:rPr>
        <w:t>，</w:t>
      </w:r>
      <w:r>
        <w:rPr>
          <w:rFonts w:hint="eastAsia" w:ascii="Times New Roman" w:hAnsi="Times New Roman" w:eastAsia="楷体_GB2312" w:cs="Times New Roman"/>
          <w:sz w:val="28"/>
          <w:szCs w:val="28"/>
        </w:rPr>
        <w:t>依托大同市风电、光电等可再生能源发电的产业基础，大力发展可再生能源发电-电解水制氢，作为大同市氢能产业发展主要氢源。另外，布局火力发电-电解水制氢和</w:t>
      </w:r>
      <w:r>
        <w:rPr>
          <w:rFonts w:ascii="Times New Roman" w:hAnsi="Times New Roman" w:eastAsia="楷体_GB2312" w:cs="Times New Roman"/>
          <w:sz w:val="28"/>
          <w:szCs w:val="28"/>
        </w:rPr>
        <w:t>分布式甲醇制氢</w:t>
      </w:r>
      <w:r>
        <w:rPr>
          <w:rFonts w:hint="eastAsia" w:ascii="Times New Roman" w:hAnsi="Times New Roman" w:eastAsia="楷体_GB2312" w:cs="Times New Roman"/>
          <w:sz w:val="28"/>
          <w:szCs w:val="28"/>
        </w:rPr>
        <w:t>，作为大同市氢能产业近、中期发展的氢源补充。同时，依托大同市煤炭资源优势和煤化工基础，推动“煤气化+CCUS”耦合低碳煤制氢进行工业示范。远期，待“煤气化+CCUS”耦合低碳制氢技术成熟后，进行大规模发展。构建大同市可再生能源发电-电解水制氢、电网灵活调峰电解水制氢、化工原料制氢、煤制氢的多元化制氢格局，为大同市</w:t>
      </w:r>
      <w:r>
        <w:rPr>
          <w:rFonts w:ascii="Times New Roman" w:hAnsi="Times New Roman" w:eastAsia="楷体_GB2312" w:cs="Times New Roman"/>
          <w:sz w:val="28"/>
          <w:szCs w:val="28"/>
        </w:rPr>
        <w:t>氢能</w:t>
      </w:r>
      <w:r>
        <w:rPr>
          <w:rFonts w:hint="eastAsia" w:ascii="Times New Roman" w:hAnsi="Times New Roman" w:eastAsia="楷体_GB2312" w:cs="Times New Roman"/>
          <w:sz w:val="28"/>
          <w:szCs w:val="28"/>
        </w:rPr>
        <w:t>产业的发展提供氢源保障。</w:t>
      </w:r>
    </w:p>
    <w:p w14:paraId="108389AF">
      <w:pPr>
        <w:spacing w:line="360" w:lineRule="auto"/>
        <w:ind w:firstLine="562" w:firstLineChars="200"/>
        <w:rPr>
          <w:rFonts w:ascii="Times New Roman" w:hAnsi="Times New Roman" w:eastAsia="楷体_GB2312" w:cs="Times New Roman"/>
          <w:sz w:val="28"/>
          <w:szCs w:val="30"/>
        </w:rPr>
      </w:pPr>
      <w:r>
        <w:rPr>
          <w:rFonts w:hint="eastAsia" w:ascii="Times New Roman" w:hAnsi="Times New Roman" w:eastAsia="楷体_GB2312" w:cs="Times New Roman"/>
          <w:b/>
          <w:sz w:val="28"/>
          <w:szCs w:val="30"/>
        </w:rPr>
        <w:t>电解水制氢技术方面</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通过技术合作及引入，克服碱性电解槽存在污染、效率低等问题，</w:t>
      </w:r>
      <w:r>
        <w:rPr>
          <w:rFonts w:hint="eastAsia" w:ascii="Times New Roman" w:hAnsi="Times New Roman" w:eastAsia="楷体_GB2312" w:cs="Times New Roman"/>
          <w:sz w:val="28"/>
          <w:szCs w:val="30"/>
        </w:rPr>
        <w:t>开发</w:t>
      </w:r>
      <w:r>
        <w:rPr>
          <w:rFonts w:ascii="Times New Roman" w:hAnsi="Times New Roman" w:eastAsia="楷体_GB2312" w:cs="Times New Roman"/>
          <w:sz w:val="28"/>
          <w:szCs w:val="30"/>
        </w:rPr>
        <w:t>新型电极和隔膜材料；</w:t>
      </w:r>
      <w:r>
        <w:rPr>
          <w:rFonts w:hint="eastAsia" w:ascii="Times New Roman" w:hAnsi="Times New Roman" w:eastAsia="楷体_GB2312" w:cs="Times New Roman"/>
          <w:sz w:val="28"/>
          <w:szCs w:val="30"/>
        </w:rPr>
        <w:t>同时，以降低成本、提高效率、延长使用寿命为目标，进行</w:t>
      </w:r>
      <w:r>
        <w:rPr>
          <w:rFonts w:ascii="Times New Roman" w:hAnsi="Times New Roman" w:eastAsia="楷体_GB2312" w:cs="Times New Roman"/>
          <w:sz w:val="28"/>
          <w:szCs w:val="30"/>
        </w:rPr>
        <w:t>质子交换膜(PEM)</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固体氧化物</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SOECs</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电解技术</w:t>
      </w:r>
      <w:r>
        <w:rPr>
          <w:rFonts w:hint="eastAsia" w:ascii="Times New Roman" w:hAnsi="Times New Roman" w:eastAsia="楷体_GB2312" w:cs="Times New Roman"/>
          <w:sz w:val="28"/>
          <w:szCs w:val="30"/>
        </w:rPr>
        <w:t>的开发</w:t>
      </w:r>
      <w:r>
        <w:rPr>
          <w:rFonts w:ascii="Times New Roman" w:hAnsi="Times New Roman" w:eastAsia="楷体_GB2312" w:cs="Times New Roman"/>
          <w:sz w:val="28"/>
          <w:szCs w:val="30"/>
        </w:rPr>
        <w:t>。</w:t>
      </w:r>
      <w:r>
        <w:rPr>
          <w:rFonts w:hint="eastAsia" w:ascii="Times New Roman" w:hAnsi="Times New Roman" w:eastAsia="楷体_GB2312" w:cs="Times New Roman"/>
          <w:b/>
          <w:sz w:val="28"/>
          <w:szCs w:val="30"/>
        </w:rPr>
        <w:t>化工原料制氢技术方面</w:t>
      </w:r>
      <w:r>
        <w:rPr>
          <w:rFonts w:hint="eastAsia" w:ascii="Times New Roman" w:hAnsi="Times New Roman" w:eastAsia="楷体_GB2312" w:cs="Times New Roman"/>
          <w:sz w:val="28"/>
          <w:szCs w:val="30"/>
        </w:rPr>
        <w:t>，通过工艺优化、工艺集成，开发安全、稳定的甲醇裂解制氢工艺；进行甲醇</w:t>
      </w:r>
      <w:r>
        <w:rPr>
          <w:rFonts w:ascii="Times New Roman" w:hAnsi="Times New Roman" w:eastAsia="楷体_GB2312" w:cs="Times New Roman"/>
          <w:sz w:val="28"/>
          <w:szCs w:val="30"/>
        </w:rPr>
        <w:t>裂解</w:t>
      </w:r>
      <w:r>
        <w:rPr>
          <w:rFonts w:hint="eastAsia" w:ascii="Times New Roman" w:hAnsi="Times New Roman" w:eastAsia="楷体_GB2312" w:cs="Times New Roman"/>
          <w:sz w:val="28"/>
          <w:szCs w:val="30"/>
        </w:rPr>
        <w:t>催化剂的开发，提高催化剂在高温下的使用寿命；通过对变压吸附工艺的优化，提高产品氢气的纯度。</w:t>
      </w:r>
      <w:r>
        <w:rPr>
          <w:rFonts w:hint="eastAsia" w:ascii="Times New Roman" w:hAnsi="Times New Roman" w:eastAsia="楷体_GB2312" w:cs="Times New Roman"/>
          <w:b/>
          <w:sz w:val="28"/>
          <w:szCs w:val="30"/>
        </w:rPr>
        <w:t>化工尾气制氢技术方面</w:t>
      </w:r>
      <w:r>
        <w:rPr>
          <w:rFonts w:hint="eastAsia" w:ascii="Times New Roman" w:hAnsi="Times New Roman" w:eastAsia="楷体_GB2312" w:cs="Times New Roman"/>
          <w:sz w:val="28"/>
          <w:szCs w:val="30"/>
        </w:rPr>
        <w:t>，根据不同化工尾气中的杂质种类和含量，完成适合于不同化工尾气的制氢集成工艺和关键技术开发。</w:t>
      </w:r>
      <w:r>
        <w:rPr>
          <w:rFonts w:hint="eastAsia" w:ascii="Times New Roman" w:hAnsi="Times New Roman" w:eastAsia="楷体_GB2312" w:cs="Times New Roman"/>
          <w:b/>
          <w:sz w:val="28"/>
          <w:szCs w:val="30"/>
        </w:rPr>
        <w:t>煤制氢技术方面</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开发二氧化碳补集及资源化利用技术</w:t>
      </w:r>
      <w:r>
        <w:rPr>
          <w:rFonts w:hint="eastAsia" w:ascii="Times New Roman" w:hAnsi="Times New Roman" w:eastAsia="楷体_GB2312" w:cs="Times New Roman"/>
          <w:sz w:val="28"/>
          <w:szCs w:val="30"/>
        </w:rPr>
        <w:t>（CCUS），并与煤气化技术耦合形成“煤气化+CCUS”。</w:t>
      </w:r>
    </w:p>
    <w:p w14:paraId="23C9EA6B">
      <w:pPr>
        <w:spacing w:line="360" w:lineRule="auto"/>
        <w:rPr>
          <w:rFonts w:ascii="Times New Roman" w:hAnsi="Times New Roman" w:eastAsia="楷体_GB2312" w:cs="Times New Roman"/>
          <w:sz w:val="28"/>
          <w:szCs w:val="28"/>
        </w:rPr>
      </w:pPr>
    </w:p>
    <w:p w14:paraId="6CA52E2C">
      <w:pPr>
        <w:spacing w:line="360" w:lineRule="auto"/>
        <w:rPr>
          <w:rFonts w:ascii="Times New Roman" w:hAnsi="Times New Roman" w:eastAsia="楷体_GB2312" w:cs="Times New Roman"/>
          <w:b/>
          <w:bCs/>
          <w:sz w:val="28"/>
          <w:szCs w:val="30"/>
        </w:rPr>
      </w:pPr>
    </w:p>
    <w:p w14:paraId="28CE0824">
      <w:pPr>
        <w:spacing w:line="360" w:lineRule="auto"/>
        <w:jc w:val="center"/>
        <w:rPr>
          <w:rFonts w:ascii="Times New Roman" w:hAnsi="Times New Roman" w:eastAsia="楷体_GB2312" w:cs="Times New Roman"/>
          <w:b/>
          <w:bCs/>
          <w:sz w:val="28"/>
          <w:szCs w:val="30"/>
        </w:rPr>
      </w:pPr>
    </w:p>
    <w:p w14:paraId="031B7542">
      <w:pPr>
        <w:spacing w:line="360" w:lineRule="auto"/>
        <w:jc w:val="center"/>
        <w:rPr>
          <w:rFonts w:ascii="Times New Roman" w:hAnsi="Times New Roman" w:eastAsia="楷体_GB2312" w:cs="Times New Roman"/>
          <w:b/>
          <w:bCs/>
          <w:sz w:val="28"/>
          <w:szCs w:val="30"/>
        </w:rPr>
      </w:pPr>
    </w:p>
    <w:p w14:paraId="7DC4ECCB">
      <w:pPr>
        <w:spacing w:line="360" w:lineRule="auto"/>
        <w:jc w:val="center"/>
        <w:rPr>
          <w:rFonts w:ascii="Times New Roman" w:hAnsi="Times New Roman" w:eastAsia="楷体_GB2312" w:cs="Times New Roman"/>
          <w:b/>
          <w:bCs/>
          <w:sz w:val="28"/>
          <w:szCs w:val="30"/>
        </w:rPr>
      </w:pPr>
    </w:p>
    <w:p w14:paraId="4642D027">
      <w:pPr>
        <w:spacing w:line="360" w:lineRule="auto"/>
        <w:jc w:val="center"/>
        <w:rPr>
          <w:rFonts w:ascii="Times New Roman" w:hAnsi="Times New Roman" w:eastAsia="楷体_GB2312" w:cs="Times New Roman"/>
          <w:sz w:val="28"/>
          <w:szCs w:val="30"/>
        </w:rPr>
      </w:pPr>
      <w:r>
        <w:rPr>
          <w:rFonts w:ascii="Times New Roman" w:hAnsi="Times New Roman" w:eastAsia="楷体_GB2312" w:cs="Times New Roman"/>
          <w:sz w:val="28"/>
          <w:szCs w:val="30"/>
        </w:rPr>
        <w:drawing>
          <wp:inline distT="0" distB="0" distL="0" distR="0">
            <wp:extent cx="5700395" cy="392049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710144" cy="3927608"/>
                    </a:xfrm>
                    <a:prstGeom prst="rect">
                      <a:avLst/>
                    </a:prstGeom>
                    <a:noFill/>
                  </pic:spPr>
                </pic:pic>
              </a:graphicData>
            </a:graphic>
          </wp:inline>
        </w:drawing>
      </w:r>
    </w:p>
    <w:p w14:paraId="58983781">
      <w:pPr>
        <w:spacing w:line="360" w:lineRule="auto"/>
        <w:jc w:val="center"/>
        <w:rPr>
          <w:rFonts w:ascii="Times New Roman" w:hAnsi="Times New Roman" w:eastAsia="楷体_GB2312" w:cs="Times New Roman"/>
          <w:b/>
          <w:bCs/>
          <w:sz w:val="24"/>
          <w:szCs w:val="24"/>
        </w:rPr>
      </w:pPr>
      <w:r>
        <w:rPr>
          <w:rFonts w:hint="eastAsia" w:ascii="Times New Roman" w:hAnsi="Times New Roman" w:eastAsia="楷体_GB2312" w:cs="Times New Roman"/>
          <w:b/>
          <w:bCs/>
          <w:sz w:val="24"/>
          <w:szCs w:val="24"/>
        </w:rPr>
        <w:t>图2-2制氢产业链</w:t>
      </w:r>
    </w:p>
    <w:p w14:paraId="47D16A74">
      <w:pPr>
        <w:pStyle w:val="5"/>
      </w:pPr>
      <w:r>
        <w:t>2.5.2 氢气储运产业发展方向</w:t>
      </w:r>
    </w:p>
    <w:p w14:paraId="5F47D94B">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目前，大同氢能产业处于起步阶段，液氢、有机液体及固体材料储运技术还不成熟，近期，主要以高压气态形式进行氢气的储存，并以长管拖车运输，形成以高压气态为主的储运网络。同时，积极与AP、普莱克斯、法液空、国富氢能、中科富海等国内外知名企业合作，进行液氢储运产业的示范运行，作为高压储运网络的补充；并进行天然气掺氢管道输氢、纯氢管道输氢、有机液体储运、固体材料储运、液氨储运等技术的开发和布局。</w:t>
      </w:r>
    </w:p>
    <w:p w14:paraId="589C7CD9">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中期，初步形成以高压气态储运为主、液氢储运为辅的氢气储运网络，且天然气掺氢管道输氢、纯氢管道输氢、有机液体储运、固体材料储运、液氨储运等技术开发成熟。远期，形成短距离、中距离和远距离的氢气储运技术体系。大同市借助较为完备的氢能储运系统，</w:t>
      </w:r>
      <w:r>
        <w:rPr>
          <w:rFonts w:ascii="Times New Roman" w:hAnsi="Times New Roman" w:eastAsia="楷体_GB2312" w:cs="Times New Roman"/>
          <w:sz w:val="28"/>
          <w:szCs w:val="30"/>
        </w:rPr>
        <w:t>进一步拓宽</w:t>
      </w:r>
      <w:r>
        <w:rPr>
          <w:rFonts w:hint="eastAsia" w:ascii="Times New Roman" w:hAnsi="Times New Roman" w:eastAsia="楷体_GB2312" w:cs="Times New Roman"/>
          <w:sz w:val="28"/>
          <w:szCs w:val="30"/>
        </w:rPr>
        <w:t>氢能产业贸易</w:t>
      </w:r>
      <w:r>
        <w:rPr>
          <w:rFonts w:ascii="Times New Roman" w:hAnsi="Times New Roman" w:eastAsia="楷体_GB2312" w:cs="Times New Roman"/>
          <w:sz w:val="28"/>
          <w:szCs w:val="30"/>
        </w:rPr>
        <w:t>市场，</w:t>
      </w:r>
      <w:r>
        <w:rPr>
          <w:rFonts w:hint="eastAsia" w:ascii="Times New Roman" w:hAnsi="Times New Roman" w:eastAsia="楷体_GB2312" w:cs="Times New Roman"/>
          <w:sz w:val="28"/>
          <w:szCs w:val="30"/>
        </w:rPr>
        <w:t>积极</w:t>
      </w:r>
      <w:r>
        <w:rPr>
          <w:rFonts w:ascii="Times New Roman" w:hAnsi="Times New Roman" w:eastAsia="楷体_GB2312" w:cs="Times New Roman"/>
          <w:sz w:val="28"/>
          <w:szCs w:val="30"/>
        </w:rPr>
        <w:t>参与“一带一路”，推进与晋冀蒙长城金三角</w:t>
      </w:r>
      <w:r>
        <w:rPr>
          <w:rFonts w:hint="eastAsia" w:ascii="Times New Roman" w:hAnsi="Times New Roman" w:eastAsia="楷体_GB2312" w:cs="Times New Roman"/>
          <w:sz w:val="28"/>
          <w:szCs w:val="30"/>
        </w:rPr>
        <w:t>的</w:t>
      </w:r>
      <w:r>
        <w:rPr>
          <w:rFonts w:ascii="Times New Roman" w:hAnsi="Times New Roman" w:eastAsia="楷体_GB2312" w:cs="Times New Roman"/>
          <w:sz w:val="28"/>
          <w:szCs w:val="30"/>
        </w:rPr>
        <w:t>合作，全力打造京津冀、雄安新区</w:t>
      </w:r>
      <w:r>
        <w:rPr>
          <w:rFonts w:hint="eastAsia" w:ascii="Times New Roman" w:hAnsi="Times New Roman" w:eastAsia="楷体_GB2312" w:cs="Times New Roman"/>
          <w:sz w:val="28"/>
          <w:szCs w:val="30"/>
        </w:rPr>
        <w:t>氢能源供应</w:t>
      </w:r>
      <w:r>
        <w:rPr>
          <w:rFonts w:ascii="Times New Roman" w:hAnsi="Times New Roman" w:eastAsia="楷体_GB2312" w:cs="Times New Roman"/>
          <w:sz w:val="28"/>
          <w:szCs w:val="30"/>
        </w:rPr>
        <w:t>基地。</w:t>
      </w:r>
    </w:p>
    <w:p w14:paraId="44958CB7">
      <w:pPr>
        <w:spacing w:line="360" w:lineRule="auto"/>
        <w:jc w:val="center"/>
        <w:rPr>
          <w:rFonts w:ascii="Times New Roman" w:hAnsi="Times New Roman" w:eastAsia="楷体_GB2312" w:cs="Times New Roman"/>
          <w:sz w:val="28"/>
          <w:szCs w:val="30"/>
        </w:rPr>
      </w:pPr>
      <w:r>
        <w:rPr>
          <w:rFonts w:ascii="Times New Roman" w:hAnsi="Times New Roman" w:eastAsia="楷体_GB2312" w:cs="Times New Roman"/>
          <w:sz w:val="28"/>
          <w:szCs w:val="30"/>
        </w:rPr>
        <w:drawing>
          <wp:inline distT="0" distB="0" distL="0" distR="0">
            <wp:extent cx="5507355" cy="362775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506710" cy="3627615"/>
                    </a:xfrm>
                    <a:prstGeom prst="rect">
                      <a:avLst/>
                    </a:prstGeom>
                    <a:noFill/>
                  </pic:spPr>
                </pic:pic>
              </a:graphicData>
            </a:graphic>
          </wp:inline>
        </w:drawing>
      </w:r>
    </w:p>
    <w:p w14:paraId="3AA7A731">
      <w:pPr>
        <w:spacing w:line="360" w:lineRule="auto"/>
        <w:ind w:firstLine="482" w:firstLineChars="200"/>
        <w:jc w:val="center"/>
        <w:rPr>
          <w:rFonts w:ascii="Times New Roman" w:hAnsi="Times New Roman" w:eastAsia="楷体_GB2312" w:cs="Times New Roman"/>
          <w:b/>
          <w:bCs/>
          <w:sz w:val="24"/>
          <w:szCs w:val="24"/>
        </w:rPr>
      </w:pPr>
      <w:r>
        <w:rPr>
          <w:rFonts w:hint="eastAsia" w:ascii="Times New Roman" w:hAnsi="Times New Roman" w:eastAsia="楷体_GB2312" w:cs="Times New Roman"/>
          <w:b/>
          <w:bCs/>
          <w:sz w:val="24"/>
          <w:szCs w:val="24"/>
        </w:rPr>
        <w:t>图2-3氢能储运技术方向</w:t>
      </w:r>
    </w:p>
    <w:p w14:paraId="630C36F9">
      <w:pPr>
        <w:pStyle w:val="5"/>
      </w:pPr>
      <w:r>
        <w:t>2.5.3 加氢站产业发展方向</w:t>
      </w:r>
    </w:p>
    <w:p w14:paraId="3F8A0DBB">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加氢站的关键系统主要包含制氢系统（具有站内制氢能力的加氢站）、纯化系统（站内制氢加氢站用于纯化站内制备的氢气）、压缩系统、储氢系统、加氢系统、安全监控系统及其他机械设备（包括管道、配件、阀门等）。目前，</w:t>
      </w:r>
      <w:r>
        <w:rPr>
          <w:rFonts w:ascii="Times New Roman" w:hAnsi="Times New Roman" w:eastAsia="楷体_GB2312" w:cs="Times New Roman"/>
          <w:sz w:val="28"/>
          <w:szCs w:val="30"/>
        </w:rPr>
        <w:t>压缩机、加氢枪头</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仪表、阀门等核心设备依然依赖进口</w:t>
      </w:r>
      <w:r>
        <w:rPr>
          <w:rFonts w:hint="eastAsia" w:ascii="Times New Roman" w:hAnsi="Times New Roman" w:eastAsia="楷体_GB2312" w:cs="Times New Roman"/>
          <w:sz w:val="28"/>
          <w:szCs w:val="30"/>
        </w:rPr>
        <w:t>，提高加氢站国产化水平，降低建站成本，是目前国内加氢站技术发展的重要方向。</w:t>
      </w:r>
    </w:p>
    <w:p w14:paraId="106EBF94">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近期内大同市可以通过技术引入、技术合作重点发展高压气态加氢站技术，依托本地优势企业和研究机构建立研发、生产基地，推进氢气储罐、涉氢管线、阀门、仪表等设备和零部件的开发和产业化，提高加氢站设备国产化比例，降低投资。同时，还要布局低温液态储氢、加氢</w:t>
      </w:r>
      <w:r>
        <w:rPr>
          <w:rFonts w:ascii="Times New Roman" w:hAnsi="Times New Roman" w:eastAsia="楷体_GB2312" w:cs="Times New Roman"/>
          <w:sz w:val="28"/>
          <w:szCs w:val="30"/>
        </w:rPr>
        <w:t>关键技术</w:t>
      </w:r>
      <w:r>
        <w:rPr>
          <w:rFonts w:hint="eastAsia" w:ascii="Times New Roman" w:hAnsi="Times New Roman" w:eastAsia="楷体_GB2312" w:cs="Times New Roman"/>
          <w:sz w:val="28"/>
          <w:szCs w:val="30"/>
        </w:rPr>
        <w:t>，重点关注车载有机液体储氢加氢站。另外，为了降低</w:t>
      </w:r>
      <w:r>
        <w:rPr>
          <w:rFonts w:ascii="Times New Roman" w:hAnsi="Times New Roman" w:eastAsia="楷体_GB2312" w:cs="Times New Roman"/>
          <w:sz w:val="28"/>
          <w:szCs w:val="30"/>
        </w:rPr>
        <w:t>加氢站的运营风险</w:t>
      </w:r>
      <w:r>
        <w:rPr>
          <w:rFonts w:hint="eastAsia" w:ascii="Times New Roman" w:hAnsi="Times New Roman" w:eastAsia="楷体_GB2312" w:cs="Times New Roman"/>
          <w:sz w:val="28"/>
          <w:szCs w:val="30"/>
        </w:rPr>
        <w:t>，对加氢站点及数量要进行合理布局，积极进行油/氢混合站、气/氢混合站以及油/气/氢混合站的改造</w:t>
      </w:r>
      <w:r>
        <w:rPr>
          <w:rFonts w:ascii="Times New Roman" w:hAnsi="Times New Roman" w:eastAsia="楷体_GB2312" w:cs="Times New Roman"/>
          <w:sz w:val="28"/>
          <w:szCs w:val="30"/>
        </w:rPr>
        <w:t>。远期</w:t>
      </w:r>
      <w:r>
        <w:rPr>
          <w:rFonts w:hint="eastAsia" w:ascii="Times New Roman" w:hAnsi="Times New Roman" w:eastAsia="楷体_GB2312" w:cs="Times New Roman"/>
          <w:sz w:val="28"/>
          <w:szCs w:val="30"/>
        </w:rPr>
        <w:t>，待</w:t>
      </w:r>
      <w:r>
        <w:rPr>
          <w:rFonts w:ascii="Times New Roman" w:hAnsi="Times New Roman" w:eastAsia="楷体_GB2312" w:cs="Times New Roman"/>
          <w:sz w:val="28"/>
          <w:szCs w:val="30"/>
        </w:rPr>
        <w:t>液氢</w:t>
      </w:r>
      <w:r>
        <w:rPr>
          <w:rFonts w:hint="eastAsia" w:ascii="Times New Roman" w:hAnsi="Times New Roman" w:eastAsia="楷体_GB2312" w:cs="Times New Roman"/>
          <w:sz w:val="28"/>
          <w:szCs w:val="30"/>
        </w:rPr>
        <w:t>加氢站</w:t>
      </w:r>
      <w:r>
        <w:rPr>
          <w:rFonts w:ascii="Times New Roman" w:hAnsi="Times New Roman" w:eastAsia="楷体_GB2312" w:cs="Times New Roman"/>
          <w:sz w:val="28"/>
          <w:szCs w:val="30"/>
        </w:rPr>
        <w:t>技术</w:t>
      </w:r>
      <w:r>
        <w:rPr>
          <w:rFonts w:hint="eastAsia" w:ascii="Times New Roman" w:hAnsi="Times New Roman" w:eastAsia="楷体_GB2312" w:cs="Times New Roman"/>
          <w:sz w:val="28"/>
          <w:szCs w:val="30"/>
        </w:rPr>
        <w:t>及车载有机液体储氢加氢站技术成熟后，根据氢能下游应用的具体情况，进行这两种加氢站的大规模推广。</w:t>
      </w:r>
    </w:p>
    <w:p w14:paraId="6A74FE3F">
      <w:pPr>
        <w:spacing w:line="360" w:lineRule="auto"/>
        <w:rPr>
          <w:rFonts w:ascii="Times New Roman" w:hAnsi="Times New Roman" w:eastAsia="楷体_GB2312" w:cs="Times New Roman"/>
          <w:sz w:val="28"/>
          <w:szCs w:val="30"/>
        </w:rPr>
      </w:pPr>
      <w:r>
        <w:rPr>
          <w:rFonts w:ascii="Times New Roman" w:hAnsi="Times New Roman" w:eastAsia="楷体_GB2312" w:cs="Times New Roman"/>
          <w:sz w:val="28"/>
          <w:szCs w:val="30"/>
        </w:rPr>
        <w:drawing>
          <wp:inline distT="0" distB="0" distL="0" distR="0">
            <wp:extent cx="5748655" cy="302069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751471" cy="3022623"/>
                    </a:xfrm>
                    <a:prstGeom prst="rect">
                      <a:avLst/>
                    </a:prstGeom>
                    <a:noFill/>
                  </pic:spPr>
                </pic:pic>
              </a:graphicData>
            </a:graphic>
          </wp:inline>
        </w:drawing>
      </w:r>
    </w:p>
    <w:p w14:paraId="2EFE1C90">
      <w:pPr>
        <w:spacing w:line="360" w:lineRule="auto"/>
        <w:ind w:firstLine="482" w:firstLineChars="200"/>
        <w:jc w:val="center"/>
        <w:rPr>
          <w:rFonts w:ascii="Times New Roman" w:hAnsi="Times New Roman" w:eastAsia="楷体_GB2312" w:cs="Times New Roman"/>
          <w:b/>
          <w:bCs/>
          <w:sz w:val="24"/>
          <w:szCs w:val="24"/>
        </w:rPr>
      </w:pPr>
      <w:r>
        <w:rPr>
          <w:rFonts w:hint="eastAsia" w:ascii="Times New Roman" w:hAnsi="Times New Roman" w:eastAsia="楷体_GB2312" w:cs="Times New Roman"/>
          <w:b/>
          <w:bCs/>
          <w:sz w:val="24"/>
          <w:szCs w:val="24"/>
        </w:rPr>
        <w:t>图2-4加氢站技术路线</w:t>
      </w:r>
    </w:p>
    <w:p w14:paraId="07D8EA9B">
      <w:pPr>
        <w:pStyle w:val="5"/>
      </w:pPr>
      <w:r>
        <w:t>2.5.4 氢燃料电池产业发展方向</w:t>
      </w:r>
    </w:p>
    <w:p w14:paraId="08738054">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通过招商引资和技术合作引入先进的氢燃料电池生产企业和技术商，通过政府支持及当地企业配合推进氢燃料电池生产项目的实施落地，将大同市打造成氢能装备制造之都。</w:t>
      </w:r>
    </w:p>
    <w:p w14:paraId="485F5B79">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近期，结合氢燃料电池产业发展趋势和大同市的产业基础，通过自主研发和国内外技术引入实现对膜电极、质子交换膜、催化剂、氢气循环泵等关键技术和设备进行开发，并进行示范和生产；建立氢燃料电池研发、检测平台；同时，积极推进车用燃料电池发动机、燃料电池电堆、散热系统、供氢系统等</w:t>
      </w:r>
      <w:r>
        <w:rPr>
          <w:rFonts w:ascii="Times New Roman" w:hAnsi="Times New Roman" w:eastAsia="楷体_GB2312" w:cs="Times New Roman"/>
          <w:sz w:val="28"/>
          <w:szCs w:val="30"/>
        </w:rPr>
        <w:t>车用关键零部件的产业化</w:t>
      </w:r>
      <w:r>
        <w:rPr>
          <w:rFonts w:hint="eastAsia" w:ascii="Times New Roman" w:hAnsi="Times New Roman" w:eastAsia="楷体_GB2312" w:cs="Times New Roman"/>
          <w:sz w:val="28"/>
          <w:szCs w:val="30"/>
        </w:rPr>
        <w:t>，推进燃料电池公交车、机车、大巴车、物流车、专用车以及重卡车辆在当地的生产集成、运营、维护工作。远期，根据市场、技术发展情况，择机大力发展氢燃料电池乘用车产业、乘用车燃料电池关键零部件产业。</w:t>
      </w:r>
    </w:p>
    <w:p w14:paraId="68DD8C15">
      <w:pPr>
        <w:spacing w:line="360" w:lineRule="auto"/>
        <w:jc w:val="center"/>
        <w:rPr>
          <w:rFonts w:ascii="Times New Roman" w:hAnsi="Times New Roman" w:eastAsia="楷体_GB2312" w:cs="Times New Roman"/>
          <w:b/>
          <w:sz w:val="28"/>
          <w:szCs w:val="30"/>
        </w:rPr>
      </w:pPr>
      <w:r>
        <w:rPr>
          <w:rFonts w:ascii="Times New Roman" w:hAnsi="Times New Roman" w:eastAsia="楷体_GB2312" w:cs="Times New Roman"/>
          <w:b/>
          <w:sz w:val="28"/>
          <w:szCs w:val="30"/>
        </w:rPr>
        <w:drawing>
          <wp:inline distT="0" distB="0" distL="0" distR="0">
            <wp:extent cx="5147945" cy="380365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149926" cy="3805656"/>
                    </a:xfrm>
                    <a:prstGeom prst="rect">
                      <a:avLst/>
                    </a:prstGeom>
                    <a:noFill/>
                  </pic:spPr>
                </pic:pic>
              </a:graphicData>
            </a:graphic>
          </wp:inline>
        </w:drawing>
      </w:r>
    </w:p>
    <w:p w14:paraId="259C8839">
      <w:pPr>
        <w:spacing w:line="360" w:lineRule="auto"/>
        <w:ind w:firstLine="482" w:firstLineChars="200"/>
        <w:jc w:val="center"/>
        <w:rPr>
          <w:rFonts w:ascii="Times New Roman" w:hAnsi="Times New Roman" w:eastAsia="楷体_GB2312" w:cs="Times New Roman"/>
          <w:sz w:val="24"/>
          <w:szCs w:val="24"/>
        </w:rPr>
      </w:pPr>
      <w:r>
        <w:rPr>
          <w:rFonts w:hint="eastAsia" w:ascii="Times New Roman" w:hAnsi="Times New Roman" w:eastAsia="楷体_GB2312" w:cs="Times New Roman"/>
          <w:b/>
          <w:sz w:val="24"/>
          <w:szCs w:val="24"/>
        </w:rPr>
        <w:t>图2-5氢燃料电池产业链</w:t>
      </w:r>
    </w:p>
    <w:p w14:paraId="7E6DB2C3">
      <w:pPr>
        <w:pStyle w:val="5"/>
      </w:pPr>
      <w:r>
        <w:t>2.5.5 氢能应用产业发展方向</w:t>
      </w:r>
    </w:p>
    <w:p w14:paraId="577099B5">
      <w:pPr>
        <w:spacing w:line="360" w:lineRule="auto"/>
        <w:ind w:firstLine="560" w:firstLineChars="200"/>
        <w:rPr>
          <w:rFonts w:ascii="Times New Roman" w:hAnsi="Times New Roman" w:eastAsia="楷体_GB2312" w:cs="Times New Roman"/>
          <w:sz w:val="28"/>
          <w:szCs w:val="30"/>
        </w:rPr>
      </w:pPr>
      <w:r>
        <w:rPr>
          <w:rFonts w:ascii="Times New Roman" w:hAnsi="Times New Roman" w:eastAsia="楷体_GB2312" w:cs="Times New Roman"/>
          <w:sz w:val="28"/>
          <w:szCs w:val="30"/>
        </w:rPr>
        <w:t>氢能应用领域广泛，传统应用主要是在合成氨、合成甲醇</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炼油和炼钢领域</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新兴的应用主要集中在氢燃料电池转化应用领域，通过能量转化进一步应用于汽车驱动、供电、供热等。</w:t>
      </w:r>
    </w:p>
    <w:p w14:paraId="7AD24E4B">
      <w:pPr>
        <w:spacing w:line="360" w:lineRule="auto"/>
        <w:ind w:firstLine="548" w:firstLineChars="196"/>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近期，以氢燃料电池为出发点，着重发展氢燃料电池汽车产业，对氢燃料电池大巴车、物流车、专用车以及重卡车辆进行布局；远期，随着氢能产业的不断发展，逐步扩大氢能的应用领域。</w:t>
      </w:r>
      <w:r>
        <w:rPr>
          <w:rFonts w:ascii="Times New Roman" w:hAnsi="Times New Roman" w:eastAsia="楷体_GB2312" w:cs="Times New Roman"/>
          <w:sz w:val="28"/>
          <w:szCs w:val="30"/>
        </w:rPr>
        <w:t>结合能源革命</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十大农村、十大社区、十大校园</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工程，</w:t>
      </w:r>
      <w:r>
        <w:rPr>
          <w:rFonts w:hint="eastAsia" w:ascii="Times New Roman" w:hAnsi="Times New Roman" w:eastAsia="楷体_GB2312" w:cs="Times New Roman"/>
          <w:sz w:val="28"/>
          <w:szCs w:val="30"/>
        </w:rPr>
        <w:t>发展</w:t>
      </w:r>
      <w:r>
        <w:rPr>
          <w:rFonts w:ascii="Times New Roman" w:hAnsi="Times New Roman" w:eastAsia="楷体_GB2312" w:cs="Times New Roman"/>
          <w:sz w:val="28"/>
          <w:szCs w:val="30"/>
        </w:rPr>
        <w:t>氢燃料电池热电联供技术</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天然气与氢气掺烧技术</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与铁塔公司、电网公司合作开展氢燃料电池备用电源的示范应用</w:t>
      </w:r>
      <w:r>
        <w:rPr>
          <w:rFonts w:hint="eastAsia" w:ascii="Times New Roman" w:hAnsi="Times New Roman" w:eastAsia="楷体_GB2312" w:cs="Times New Roman"/>
          <w:sz w:val="28"/>
          <w:szCs w:val="30"/>
        </w:rPr>
        <w:t>，实现氢燃料电池在消费电子、无人机、家用电器等领域的应用；</w:t>
      </w:r>
      <w:r>
        <w:rPr>
          <w:rFonts w:ascii="Times New Roman" w:hAnsi="Times New Roman" w:eastAsia="楷体_GB2312" w:cs="Times New Roman"/>
          <w:sz w:val="28"/>
          <w:szCs w:val="30"/>
        </w:rPr>
        <w:t>同时</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发展</w:t>
      </w:r>
      <w:r>
        <w:rPr>
          <w:rFonts w:hint="eastAsia" w:ascii="Times New Roman" w:hAnsi="Times New Roman" w:eastAsia="楷体_GB2312" w:cs="Times New Roman"/>
          <w:sz w:val="28"/>
          <w:szCs w:val="30"/>
        </w:rPr>
        <w:t>炼钢</w:t>
      </w:r>
      <w:r>
        <w:rPr>
          <w:rFonts w:ascii="Times New Roman" w:hAnsi="Times New Roman" w:eastAsia="楷体_GB2312" w:cs="Times New Roman"/>
          <w:sz w:val="28"/>
          <w:szCs w:val="30"/>
        </w:rPr>
        <w:t>、加气站掺氢供应、</w:t>
      </w:r>
      <w:r>
        <w:rPr>
          <w:rFonts w:hint="eastAsia" w:ascii="Times New Roman" w:hAnsi="Times New Roman" w:eastAsia="楷体_GB2312" w:cs="Times New Roman"/>
          <w:sz w:val="28"/>
          <w:szCs w:val="30"/>
        </w:rPr>
        <w:t>H</w:t>
      </w:r>
      <w:r>
        <w:rPr>
          <w:rFonts w:ascii="Times New Roman" w:hAnsi="Times New Roman" w:eastAsia="楷体_GB2312" w:cs="Times New Roman"/>
          <w:sz w:val="28"/>
          <w:szCs w:val="30"/>
        </w:rPr>
        <w:t>CNG汽车等其他氢能应用领域。</w:t>
      </w:r>
    </w:p>
    <w:p w14:paraId="1DA54A09">
      <w:pPr>
        <w:spacing w:line="360" w:lineRule="auto"/>
        <w:jc w:val="center"/>
        <w:rPr>
          <w:rFonts w:ascii="Times New Roman" w:hAnsi="Times New Roman" w:eastAsia="楷体_GB2312" w:cs="Times New Roman"/>
          <w:b/>
          <w:sz w:val="28"/>
          <w:szCs w:val="30"/>
        </w:rPr>
      </w:pPr>
      <w:r>
        <w:rPr>
          <w:rFonts w:ascii="Times New Roman" w:hAnsi="Times New Roman" w:eastAsia="楷体_GB2312" w:cs="Times New Roman"/>
          <w:b/>
          <w:sz w:val="28"/>
          <w:szCs w:val="30"/>
        </w:rPr>
        <w:drawing>
          <wp:inline distT="0" distB="0" distL="0" distR="0">
            <wp:extent cx="5481320" cy="306197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484642" cy="3064111"/>
                    </a:xfrm>
                    <a:prstGeom prst="rect">
                      <a:avLst/>
                    </a:prstGeom>
                    <a:noFill/>
                  </pic:spPr>
                </pic:pic>
              </a:graphicData>
            </a:graphic>
          </wp:inline>
        </w:drawing>
      </w:r>
    </w:p>
    <w:p w14:paraId="362C8A0A">
      <w:pPr>
        <w:spacing w:line="360" w:lineRule="auto"/>
        <w:ind w:firstLine="482" w:firstLineChars="200"/>
        <w:jc w:val="center"/>
        <w:rPr>
          <w:rFonts w:ascii="Times New Roman" w:hAnsi="Times New Roman" w:eastAsia="楷体_GB2312" w:cs="Times New Roman"/>
          <w:b/>
          <w:bCs/>
          <w:sz w:val="24"/>
          <w:szCs w:val="24"/>
        </w:rPr>
      </w:pPr>
      <w:r>
        <w:rPr>
          <w:rFonts w:ascii="Times New Roman" w:hAnsi="Times New Roman" w:eastAsia="楷体_GB2312" w:cs="Times New Roman"/>
          <w:b/>
          <w:bCs/>
          <w:sz w:val="24"/>
          <w:szCs w:val="24"/>
        </w:rPr>
        <w:t>图</w:t>
      </w:r>
      <w:r>
        <w:rPr>
          <w:rFonts w:hint="eastAsia" w:ascii="Times New Roman" w:hAnsi="Times New Roman" w:eastAsia="楷体_GB2312" w:cs="Times New Roman"/>
          <w:b/>
          <w:bCs/>
          <w:sz w:val="24"/>
          <w:szCs w:val="24"/>
        </w:rPr>
        <w:t>2-6</w:t>
      </w:r>
      <w:r>
        <w:rPr>
          <w:rFonts w:ascii="Times New Roman" w:hAnsi="Times New Roman" w:eastAsia="楷体_GB2312" w:cs="Times New Roman"/>
          <w:b/>
          <w:bCs/>
          <w:sz w:val="24"/>
          <w:szCs w:val="24"/>
        </w:rPr>
        <w:t>氢能主要应用路线</w:t>
      </w:r>
    </w:p>
    <w:p w14:paraId="3F3521B3">
      <w:pPr>
        <w:widowControl/>
        <w:jc w:val="left"/>
        <w:rPr>
          <w:rFonts w:ascii="Times New Roman" w:hAnsi="Times New Roman" w:eastAsia="楷体_GB2312" w:cs="Times New Roman"/>
          <w:sz w:val="28"/>
          <w:szCs w:val="30"/>
        </w:rPr>
      </w:pPr>
      <w:r>
        <w:rPr>
          <w:rFonts w:ascii="Times New Roman" w:hAnsi="Times New Roman" w:eastAsia="楷体_GB2312" w:cs="Times New Roman"/>
          <w:sz w:val="28"/>
          <w:szCs w:val="30"/>
        </w:rPr>
        <w:br w:type="page"/>
      </w:r>
    </w:p>
    <w:p w14:paraId="454FA48A">
      <w:pPr>
        <w:pStyle w:val="2"/>
      </w:pPr>
      <w:bookmarkStart w:id="33" w:name="_Toc52377956"/>
      <w:r>
        <w:rPr>
          <w:rFonts w:hint="eastAsia"/>
        </w:rPr>
        <w:t>第三章 大同市氢能产业发展路径与目标</w:t>
      </w:r>
      <w:bookmarkEnd w:id="33"/>
    </w:p>
    <w:p w14:paraId="343AA4A9">
      <w:pPr>
        <w:pStyle w:val="4"/>
      </w:pPr>
      <w:bookmarkStart w:id="34" w:name="_Toc52377957"/>
      <w:bookmarkStart w:id="35" w:name="_Toc308882695"/>
      <w:bookmarkStart w:id="36" w:name="_Toc18359819"/>
      <w:bookmarkStart w:id="37" w:name="_Toc533150906"/>
      <w:bookmarkStart w:id="38" w:name="_Toc283460334"/>
      <w:bookmarkStart w:id="39" w:name="_Toc283712575"/>
      <w:bookmarkStart w:id="40" w:name="_Toc283460536"/>
      <w:bookmarkStart w:id="41" w:name="_Toc283459969"/>
      <w:r>
        <w:t xml:space="preserve">3.1 </w:t>
      </w:r>
      <w:r>
        <w:rPr>
          <w:rFonts w:hint="eastAsia"/>
          <w:sz w:val="30"/>
        </w:rPr>
        <w:t>指导思想</w:t>
      </w:r>
      <w:bookmarkEnd w:id="34"/>
      <w:bookmarkEnd w:id="35"/>
      <w:bookmarkEnd w:id="36"/>
      <w:bookmarkEnd w:id="37"/>
    </w:p>
    <w:p w14:paraId="2F8DF2E1">
      <w:pPr>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全面深入贯彻落实党的十九大精神，以习近平新时代中国特色社会主义思想为指导，深入践行“创新、协调、绿色、开放、共享”的发展理念。 山西省作为国家能源基地，积极响应中央提出的打造全国能源革命“排头兵”重要指示。同时，</w:t>
      </w:r>
      <w:r>
        <w:rPr>
          <w:rFonts w:hint="eastAsia" w:ascii="Times New Roman" w:hAnsi="Times New Roman" w:eastAsia="楷体_GB2312" w:cs="Times New Roman"/>
          <w:sz w:val="28"/>
          <w:szCs w:val="30"/>
        </w:rPr>
        <w:t>山西省提出打造大同能源革命“尖兵”</w:t>
      </w:r>
      <w:r>
        <w:rPr>
          <w:rFonts w:hint="eastAsia" w:ascii="Times New Roman" w:hAnsi="Times New Roman" w:eastAsia="楷体_GB2312" w:cs="Times New Roman"/>
          <w:sz w:val="28"/>
          <w:szCs w:val="28"/>
        </w:rPr>
        <w:t>的目标，按照山西省《贯彻落实国务院支持山西省进一步深化改革促进资源型经济转型发展意见行动计划》和《山西打造全国能源革命“排头兵”行动方案》以及大同市</w:t>
      </w:r>
      <w:r>
        <w:rPr>
          <w:rFonts w:ascii="Times New Roman" w:hAnsi="Times New Roman" w:eastAsia="楷体_GB2312" w:cs="Times New Roman"/>
          <w:sz w:val="28"/>
          <w:szCs w:val="28"/>
        </w:rPr>
        <w:t>《大同能源革命综合改革试点行动方案》</w:t>
      </w:r>
      <w:r>
        <w:rPr>
          <w:rFonts w:hint="eastAsia" w:ascii="Times New Roman" w:hAnsi="Times New Roman" w:eastAsia="楷体_GB2312" w:cs="Times New Roman"/>
          <w:sz w:val="28"/>
          <w:szCs w:val="28"/>
        </w:rPr>
        <w:t>等纲领性文件的决策部署，努力实现大同市的能源结构调整、经济转型升级，争当能源革命“尖兵”。充分发挥大同市的氢源优势和工业基础优势，加强氢能源产业链与技术链的自主创新和核心引进，统筹规划大同市现有的涉氢企业，将发展氢能产业作为引领大同市能源结构调整和产业升级的重要方向，努力大同市打造成东方“氢都”。</w:t>
      </w:r>
    </w:p>
    <w:p w14:paraId="7EB817A3">
      <w:pPr>
        <w:pStyle w:val="4"/>
        <w:rPr>
          <w:sz w:val="30"/>
        </w:rPr>
      </w:pPr>
      <w:bookmarkStart w:id="42" w:name="_Toc533150907"/>
      <w:bookmarkStart w:id="43" w:name="_Toc52377958"/>
      <w:bookmarkStart w:id="44" w:name="_Toc18359820"/>
      <w:bookmarkStart w:id="45" w:name="_Toc308882696"/>
      <w:r>
        <w:t xml:space="preserve">3.2 </w:t>
      </w:r>
      <w:r>
        <w:rPr>
          <w:rFonts w:hint="eastAsia"/>
          <w:sz w:val="30"/>
        </w:rPr>
        <w:t>基本原则</w:t>
      </w:r>
      <w:bookmarkEnd w:id="38"/>
      <w:bookmarkEnd w:id="39"/>
      <w:bookmarkEnd w:id="40"/>
      <w:bookmarkEnd w:id="41"/>
      <w:bookmarkEnd w:id="42"/>
      <w:bookmarkEnd w:id="43"/>
      <w:bookmarkEnd w:id="44"/>
      <w:bookmarkEnd w:id="45"/>
    </w:p>
    <w:p w14:paraId="54B8BE80">
      <w:pPr>
        <w:spacing w:line="360" w:lineRule="auto"/>
        <w:ind w:firstLine="562" w:firstLineChars="200"/>
        <w:rPr>
          <w:rFonts w:ascii="Times New Roman" w:hAnsi="Times New Roman" w:eastAsia="楷体_GB2312" w:cs="Times New Roman"/>
          <w:sz w:val="28"/>
          <w:szCs w:val="28"/>
        </w:rPr>
      </w:pPr>
      <w:r>
        <w:rPr>
          <w:rFonts w:ascii="楷体_GB2312" w:eastAsia="楷体_GB2312"/>
          <w:b/>
          <w:color w:val="000000"/>
          <w:sz w:val="28"/>
          <w:szCs w:val="28"/>
        </w:rPr>
        <w:t>政策引导，</w:t>
      </w:r>
      <w:r>
        <w:rPr>
          <w:rFonts w:hint="eastAsia" w:ascii="楷体_GB2312" w:eastAsia="楷体_GB2312"/>
          <w:b/>
          <w:color w:val="000000"/>
          <w:sz w:val="28"/>
          <w:szCs w:val="28"/>
        </w:rPr>
        <w:t>示范发展——</w:t>
      </w:r>
      <w:r>
        <w:rPr>
          <w:rFonts w:hint="eastAsia" w:ascii="Times New Roman" w:hAnsi="Times New Roman" w:eastAsia="楷体_GB2312" w:cs="Times New Roman"/>
          <w:sz w:val="28"/>
          <w:szCs w:val="28"/>
        </w:rPr>
        <w:t>在产业培育期，加强大同市氢能产业发展的顶层设计，发挥政府政策对氢能产业的激励作用，强化对氢能产业薄弱环节的政策支持，引导氢能产业健康有序发展，加强大同市内氢能示范项目的建设，形成企业主动、政府推动、各方联动的氢能产业示范发展格局。</w:t>
      </w:r>
    </w:p>
    <w:p w14:paraId="42D4F80E">
      <w:pPr>
        <w:spacing w:line="360" w:lineRule="auto"/>
        <w:ind w:firstLine="562" w:firstLineChars="200"/>
        <w:rPr>
          <w:rFonts w:ascii="Times New Roman" w:hAnsi="Times New Roman" w:eastAsia="楷体_GB2312" w:cs="Times New Roman"/>
          <w:sz w:val="28"/>
          <w:szCs w:val="28"/>
        </w:rPr>
      </w:pPr>
      <w:r>
        <w:rPr>
          <w:rFonts w:ascii="Times New Roman" w:hAnsi="Times New Roman" w:eastAsia="楷体_GB2312" w:cs="Times New Roman"/>
          <w:b/>
          <w:sz w:val="28"/>
          <w:szCs w:val="28"/>
        </w:rPr>
        <w:t>尊重现状、发挥优势</w:t>
      </w:r>
      <w:r>
        <w:rPr>
          <w:rFonts w:hint="eastAsia" w:ascii="Times New Roman" w:hAnsi="Times New Roman" w:eastAsia="楷体_GB2312" w:cs="Times New Roman"/>
          <w:b/>
          <w:sz w:val="28"/>
          <w:szCs w:val="28"/>
        </w:rPr>
        <w:t xml:space="preserve"> ——</w:t>
      </w:r>
      <w:r>
        <w:rPr>
          <w:rFonts w:hint="eastAsia" w:ascii="Times New Roman" w:hAnsi="Times New Roman" w:eastAsia="楷体_GB2312" w:cs="Times New Roman"/>
          <w:sz w:val="28"/>
          <w:szCs w:val="28"/>
        </w:rPr>
        <w:t>正视我国以煤炭为主的能源基础结构50年内基本不会改变的现实，充分发挥大同煤炭资源在氢能源产业上游的优势，把煤炭的清洁高效利用和节能减排摆在前位，由能源输出为主向高附加值产业转化，打造清洁低价的氢源成本“洼地”。同时，发挥大同市可再生能源发电优势，进行电解水制氢，为大同市氢能产业的发展提供一条“绿氢”产业路线。</w:t>
      </w:r>
    </w:p>
    <w:p w14:paraId="2BF34589">
      <w:pPr>
        <w:spacing w:line="360" w:lineRule="auto"/>
        <w:ind w:firstLine="562" w:firstLineChars="200"/>
        <w:rPr>
          <w:rFonts w:ascii="Times New Roman" w:hAnsi="Times New Roman" w:eastAsia="楷体_GB2312" w:cs="Times New Roman"/>
          <w:b/>
          <w:sz w:val="28"/>
          <w:szCs w:val="28"/>
        </w:rPr>
      </w:pPr>
      <w:r>
        <w:rPr>
          <w:rFonts w:hint="eastAsia" w:ascii="Times New Roman" w:hAnsi="Times New Roman" w:eastAsia="楷体_GB2312" w:cs="Times New Roman"/>
          <w:b/>
          <w:sz w:val="28"/>
          <w:szCs w:val="28"/>
        </w:rPr>
        <w:t>产业聚集，龙头引领——</w:t>
      </w:r>
      <w:r>
        <w:rPr>
          <w:rFonts w:hint="eastAsia" w:ascii="Times New Roman" w:hAnsi="Times New Roman" w:eastAsia="楷体_GB2312" w:cs="Times New Roman"/>
          <w:sz w:val="28"/>
          <w:szCs w:val="28"/>
        </w:rPr>
        <w:t>结合大同市资源和工业分布现状，合理配置氢能产业空间，引导企业向适宜开发空间集聚，形成产业集群发展。培育具有国内乃至国际竞争力的龙头企业，补齐产业链短板，推动产业链向上下游延伸，带动相关配套产业发展。</w:t>
      </w:r>
    </w:p>
    <w:p w14:paraId="1B0F3DF0">
      <w:pPr>
        <w:spacing w:line="360" w:lineRule="auto"/>
        <w:ind w:firstLine="562" w:firstLineChars="200"/>
        <w:rPr>
          <w:rFonts w:ascii="Times New Roman" w:hAnsi="Times New Roman" w:eastAsia="楷体_GB2312" w:cs="Times New Roman"/>
          <w:sz w:val="28"/>
          <w:szCs w:val="28"/>
        </w:rPr>
      </w:pPr>
      <w:r>
        <w:rPr>
          <w:rFonts w:ascii="楷体_GB2312" w:eastAsia="楷体_GB2312"/>
          <w:b/>
          <w:color w:val="000000"/>
          <w:sz w:val="28"/>
          <w:szCs w:val="28"/>
        </w:rPr>
        <w:t>科创优先，标准引领</w:t>
      </w:r>
      <w:r>
        <w:rPr>
          <w:rFonts w:hint="eastAsia" w:ascii="楷体_GB2312" w:eastAsia="楷体_GB2312"/>
          <w:b/>
          <w:color w:val="000000"/>
          <w:sz w:val="28"/>
          <w:szCs w:val="28"/>
        </w:rPr>
        <w:t xml:space="preserve"> ——</w:t>
      </w:r>
      <w:r>
        <w:rPr>
          <w:rFonts w:ascii="Times New Roman" w:hAnsi="Times New Roman" w:eastAsia="楷体_GB2312" w:cs="Times New Roman"/>
          <w:sz w:val="28"/>
          <w:szCs w:val="28"/>
        </w:rPr>
        <w:t>集聚创新要素，构建创新网络，加强原始创新、集成创新和引进消化吸收再创新，</w:t>
      </w:r>
      <w:r>
        <w:rPr>
          <w:rFonts w:hint="eastAsia" w:ascii="Times New Roman" w:hAnsi="Times New Roman" w:eastAsia="楷体_GB2312" w:cs="Times New Roman"/>
          <w:sz w:val="28"/>
          <w:szCs w:val="28"/>
        </w:rPr>
        <w:t>建立氢能源产-学-研-用产业协同创新体系，</w:t>
      </w:r>
      <w:r>
        <w:rPr>
          <w:rFonts w:ascii="Times New Roman" w:hAnsi="Times New Roman" w:eastAsia="楷体_GB2312" w:cs="Times New Roman"/>
          <w:sz w:val="28"/>
          <w:szCs w:val="28"/>
        </w:rPr>
        <w:t>加快形成具有自主知识产权的技术、标准和品牌。以核心产品为突破口，大力实施技术标准战略，强化标准引领，推动氢领域先进标准研制，提升氢能产品质量和行业发展水平。</w:t>
      </w:r>
    </w:p>
    <w:p w14:paraId="7920B1CB">
      <w:pPr>
        <w:spacing w:line="360" w:lineRule="auto"/>
        <w:ind w:firstLine="562" w:firstLineChars="200"/>
        <w:rPr>
          <w:rFonts w:ascii="Times New Roman" w:hAnsi="Times New Roman" w:eastAsia="楷体_GB2312" w:cs="Times New Roman"/>
          <w:sz w:val="28"/>
          <w:szCs w:val="28"/>
        </w:rPr>
      </w:pPr>
      <w:r>
        <w:rPr>
          <w:rFonts w:ascii="Times New Roman" w:hAnsi="Times New Roman" w:eastAsia="楷体_GB2312" w:cs="Times New Roman"/>
          <w:b/>
          <w:sz w:val="28"/>
          <w:szCs w:val="28"/>
        </w:rPr>
        <w:t>开放共享、协同联动</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充分利用国内外创新资源，通过搭建科研共享平台，深层次开展国内外科技合作与交流，探索合</w:t>
      </w:r>
      <w:r>
        <w:rPr>
          <w:rFonts w:ascii="楷体" w:hAnsi="楷体" w:eastAsia="楷体"/>
          <w:color w:val="000000"/>
          <w:sz w:val="28"/>
          <w:szCs w:val="28"/>
        </w:rPr>
        <w:t>作新模式。</w:t>
      </w:r>
      <w:r>
        <w:rPr>
          <w:rFonts w:hint="eastAsia" w:ascii="楷体" w:hAnsi="楷体" w:eastAsia="楷体"/>
          <w:color w:val="000000"/>
          <w:sz w:val="28"/>
          <w:szCs w:val="28"/>
        </w:rPr>
        <w:t>积极</w:t>
      </w:r>
      <w:r>
        <w:rPr>
          <w:rFonts w:ascii="楷体" w:hAnsi="楷体" w:eastAsia="楷体"/>
          <w:color w:val="000000"/>
          <w:sz w:val="28"/>
          <w:szCs w:val="28"/>
        </w:rPr>
        <w:t>参与“一带一路”</w:t>
      </w:r>
      <w:r>
        <w:rPr>
          <w:rFonts w:hint="eastAsia" w:ascii="楷体" w:hAnsi="楷体" w:eastAsia="楷体"/>
          <w:color w:val="000000"/>
          <w:sz w:val="28"/>
          <w:szCs w:val="28"/>
        </w:rPr>
        <w:t>，</w:t>
      </w:r>
      <w:r>
        <w:rPr>
          <w:rFonts w:ascii="楷体" w:hAnsi="楷体" w:eastAsia="楷体"/>
          <w:color w:val="000000"/>
          <w:sz w:val="28"/>
          <w:szCs w:val="28"/>
        </w:rPr>
        <w:t>加强</w:t>
      </w:r>
      <w:r>
        <w:rPr>
          <w:rFonts w:hint="eastAsia" w:ascii="楷体" w:hAnsi="楷体" w:eastAsia="楷体"/>
          <w:color w:val="000000"/>
          <w:sz w:val="28"/>
          <w:szCs w:val="28"/>
        </w:rPr>
        <w:t>与京津冀、长三角、珠三角地区以及海外氢能技术强国的</w:t>
      </w:r>
      <w:r>
        <w:rPr>
          <w:rFonts w:ascii="楷体" w:hAnsi="楷体" w:eastAsia="楷体"/>
          <w:color w:val="000000"/>
          <w:sz w:val="28"/>
          <w:szCs w:val="28"/>
        </w:rPr>
        <w:t>互动合作</w:t>
      </w:r>
      <w:r>
        <w:rPr>
          <w:rFonts w:hint="eastAsia" w:ascii="楷体" w:hAnsi="楷体" w:eastAsia="楷体"/>
          <w:color w:val="000000"/>
          <w:sz w:val="28"/>
          <w:szCs w:val="28"/>
        </w:rPr>
        <w:t>，</w:t>
      </w:r>
      <w:r>
        <w:rPr>
          <w:rFonts w:ascii="楷体" w:hAnsi="楷体" w:eastAsia="楷体"/>
          <w:color w:val="000000"/>
          <w:sz w:val="28"/>
          <w:szCs w:val="28"/>
        </w:rPr>
        <w:t>形成广域技术、市场联动，</w:t>
      </w:r>
      <w:r>
        <w:rPr>
          <w:rFonts w:hint="eastAsia" w:ascii="楷体" w:hAnsi="楷体" w:eastAsia="楷体"/>
          <w:color w:val="000000"/>
          <w:sz w:val="28"/>
          <w:szCs w:val="28"/>
        </w:rPr>
        <w:t>加快</w:t>
      </w:r>
      <w:r>
        <w:rPr>
          <w:rFonts w:ascii="楷体" w:hAnsi="楷体" w:eastAsia="楷体"/>
          <w:color w:val="000000"/>
          <w:sz w:val="28"/>
          <w:szCs w:val="28"/>
        </w:rPr>
        <w:t>氢能产品大规模商业化应用脚步。</w:t>
      </w:r>
    </w:p>
    <w:p w14:paraId="3E94621F">
      <w:pPr>
        <w:pStyle w:val="4"/>
        <w:rPr>
          <w:rFonts w:ascii="楷体" w:hAnsi="楷体" w:eastAsia="楷体" w:cstheme="minorBidi"/>
          <w:b w:val="0"/>
          <w:color w:val="000000"/>
          <w:spacing w:val="0"/>
          <w:kern w:val="2"/>
          <w:sz w:val="28"/>
          <w:szCs w:val="28"/>
        </w:rPr>
      </w:pPr>
      <w:bookmarkStart w:id="46" w:name="_Toc533150908"/>
      <w:bookmarkStart w:id="47" w:name="_Toc18359821"/>
      <w:bookmarkStart w:id="48" w:name="_Toc52377959"/>
      <w:r>
        <w:t xml:space="preserve">3.3 </w:t>
      </w:r>
      <w:r>
        <w:rPr>
          <w:rFonts w:hint="eastAsia"/>
        </w:rPr>
        <w:t>发展定位</w:t>
      </w:r>
      <w:bookmarkEnd w:id="46"/>
      <w:bookmarkEnd w:id="47"/>
      <w:bookmarkEnd w:id="48"/>
    </w:p>
    <w:p w14:paraId="66F9DE1E">
      <w:pPr>
        <w:spacing w:line="360" w:lineRule="auto"/>
        <w:ind w:firstLine="560" w:firstLineChars="200"/>
        <w:rPr>
          <w:rFonts w:ascii="楷体" w:hAnsi="楷体" w:eastAsia="楷体"/>
          <w:b/>
          <w:color w:val="000000"/>
          <w:sz w:val="28"/>
          <w:szCs w:val="28"/>
        </w:rPr>
      </w:pPr>
      <w:r>
        <w:rPr>
          <w:rFonts w:hint="eastAsia" w:ascii="楷体" w:hAnsi="楷体" w:eastAsia="楷体"/>
          <w:color w:val="000000"/>
          <w:sz w:val="28"/>
          <w:szCs w:val="28"/>
        </w:rPr>
        <w:t>大同市</w:t>
      </w:r>
      <w:r>
        <w:rPr>
          <w:rFonts w:ascii="楷体" w:hAnsi="楷体" w:eastAsia="楷体"/>
          <w:color w:val="000000"/>
          <w:sz w:val="28"/>
          <w:szCs w:val="28"/>
        </w:rPr>
        <w:t>氢能产业的定位既要符合全</w:t>
      </w:r>
      <w:r>
        <w:rPr>
          <w:rFonts w:hint="eastAsia" w:ascii="楷体" w:hAnsi="楷体" w:eastAsia="楷体"/>
          <w:color w:val="000000"/>
          <w:sz w:val="28"/>
          <w:szCs w:val="28"/>
        </w:rPr>
        <w:t>市</w:t>
      </w:r>
      <w:r>
        <w:rPr>
          <w:rFonts w:ascii="楷体" w:hAnsi="楷体" w:eastAsia="楷体"/>
          <w:color w:val="000000"/>
          <w:sz w:val="28"/>
          <w:szCs w:val="28"/>
        </w:rPr>
        <w:t>总体功能定位、产业发展方向，也要符合氢能产业发展的趋势与内在规律。立足于</w:t>
      </w:r>
      <w:r>
        <w:rPr>
          <w:rFonts w:hint="eastAsia" w:ascii="楷体" w:hAnsi="楷体" w:eastAsia="楷体"/>
          <w:color w:val="000000"/>
          <w:sz w:val="28"/>
          <w:szCs w:val="28"/>
        </w:rPr>
        <w:t>大同</w:t>
      </w:r>
      <w:r>
        <w:rPr>
          <w:rFonts w:ascii="楷体" w:hAnsi="楷体" w:eastAsia="楷体"/>
          <w:color w:val="000000"/>
          <w:sz w:val="28"/>
          <w:szCs w:val="28"/>
        </w:rPr>
        <w:t>的资源禀赋、产业基础和发展优势，研判氢能产业发展趋势，准确把握机遇与挑战，着力构建特色鲜明、优势突出、可持续发展的氢能产业体系。以资源优势为保障，建设山西省及京津冀地区氢能源供应基地，打造</w:t>
      </w:r>
      <w:r>
        <w:rPr>
          <w:rFonts w:hint="eastAsia" w:ascii="楷体" w:hAnsi="楷体" w:eastAsia="楷体"/>
          <w:color w:val="000000"/>
          <w:sz w:val="28"/>
          <w:szCs w:val="28"/>
        </w:rPr>
        <w:t>大同市</w:t>
      </w:r>
      <w:r>
        <w:rPr>
          <w:rFonts w:ascii="楷体" w:hAnsi="楷体" w:eastAsia="楷体"/>
          <w:b/>
          <w:color w:val="000000"/>
          <w:sz w:val="28"/>
          <w:szCs w:val="28"/>
        </w:rPr>
        <w:t>氢能供应之都；</w:t>
      </w:r>
      <w:r>
        <w:rPr>
          <w:rFonts w:ascii="楷体" w:hAnsi="楷体" w:eastAsia="楷体"/>
          <w:color w:val="000000"/>
          <w:sz w:val="28"/>
          <w:szCs w:val="28"/>
        </w:rPr>
        <w:t>以“资源共享、平台服务”思路建设技术转化共享研发基地，打破企业专属试验资源壁垒</w:t>
      </w:r>
      <w:r>
        <w:rPr>
          <w:rFonts w:hint="eastAsia" w:ascii="楷体" w:hAnsi="楷体" w:eastAsia="楷体"/>
          <w:color w:val="000000"/>
          <w:sz w:val="28"/>
          <w:szCs w:val="28"/>
        </w:rPr>
        <w:t>，</w:t>
      </w:r>
      <w:r>
        <w:rPr>
          <w:rFonts w:ascii="楷体" w:hAnsi="楷体" w:eastAsia="楷体"/>
          <w:color w:val="000000"/>
          <w:sz w:val="28"/>
          <w:szCs w:val="28"/>
        </w:rPr>
        <w:t>提高其科研技术转化产品的效率，打造</w:t>
      </w:r>
      <w:r>
        <w:rPr>
          <w:rFonts w:hint="eastAsia" w:ascii="楷体" w:hAnsi="楷体" w:eastAsia="楷体"/>
          <w:color w:val="000000"/>
          <w:sz w:val="28"/>
          <w:szCs w:val="28"/>
        </w:rPr>
        <w:t>大同市</w:t>
      </w:r>
      <w:r>
        <w:rPr>
          <w:rFonts w:ascii="楷体" w:hAnsi="楷体" w:eastAsia="楷体"/>
          <w:b/>
          <w:color w:val="000000"/>
          <w:sz w:val="28"/>
          <w:szCs w:val="28"/>
        </w:rPr>
        <w:t>氢能技术研发之都；</w:t>
      </w:r>
      <w:r>
        <w:rPr>
          <w:rFonts w:ascii="楷体" w:hAnsi="楷体" w:eastAsia="楷体"/>
          <w:color w:val="000000"/>
          <w:sz w:val="28"/>
          <w:szCs w:val="28"/>
        </w:rPr>
        <w:t>吸引生产型企业落地大同，做大做强氢能装备制造环节，建设以储运设备、空气压缩与液化设备、特种车辆及配套设备、氢燃料电池及其配件为主的氢能装备制造基地，打造</w:t>
      </w:r>
      <w:r>
        <w:rPr>
          <w:rFonts w:hint="eastAsia" w:ascii="楷体" w:hAnsi="楷体" w:eastAsia="楷体"/>
          <w:color w:val="000000"/>
          <w:sz w:val="28"/>
          <w:szCs w:val="28"/>
        </w:rPr>
        <w:t>大同市</w:t>
      </w:r>
      <w:r>
        <w:rPr>
          <w:rFonts w:ascii="楷体" w:hAnsi="楷体" w:eastAsia="楷体"/>
          <w:b/>
          <w:color w:val="000000"/>
          <w:sz w:val="28"/>
          <w:szCs w:val="28"/>
        </w:rPr>
        <w:t>氢能装备制造之都；</w:t>
      </w:r>
      <w:r>
        <w:rPr>
          <w:rFonts w:hint="eastAsia" w:ascii="楷体" w:hAnsi="楷体" w:eastAsia="楷体"/>
          <w:color w:val="000000"/>
          <w:sz w:val="28"/>
          <w:szCs w:val="28"/>
        </w:rPr>
        <w:t>最终将大同市打造成具有全国甚至全球示范作用的</w:t>
      </w:r>
      <w:r>
        <w:rPr>
          <w:rFonts w:hint="eastAsia" w:ascii="楷体" w:hAnsi="楷体" w:eastAsia="楷体"/>
          <w:b/>
          <w:color w:val="000000"/>
          <w:sz w:val="28"/>
          <w:szCs w:val="28"/>
        </w:rPr>
        <w:t>东方氢都。</w:t>
      </w:r>
    </w:p>
    <w:p w14:paraId="59EF6FD0">
      <w:pPr>
        <w:pStyle w:val="4"/>
      </w:pPr>
      <w:bookmarkStart w:id="49" w:name="_Toc52377960"/>
      <w:bookmarkStart w:id="50" w:name="_Toc283460537"/>
      <w:bookmarkStart w:id="51" w:name="_Toc533150909"/>
      <w:bookmarkStart w:id="52" w:name="_Toc283712576"/>
      <w:bookmarkStart w:id="53" w:name="_Toc308882697"/>
      <w:bookmarkStart w:id="54" w:name="_Toc18359822"/>
      <w:bookmarkStart w:id="55" w:name="_Toc283460335"/>
      <w:bookmarkStart w:id="56" w:name="_Toc283459970"/>
      <w:r>
        <w:t>3.4 发展路径</w:t>
      </w:r>
      <w:bookmarkEnd w:id="49"/>
      <w:bookmarkEnd w:id="50"/>
      <w:bookmarkEnd w:id="51"/>
      <w:bookmarkEnd w:id="52"/>
      <w:bookmarkEnd w:id="53"/>
      <w:bookmarkEnd w:id="54"/>
      <w:bookmarkEnd w:id="55"/>
      <w:bookmarkEnd w:id="56"/>
    </w:p>
    <w:p w14:paraId="2E21AEB1">
      <w:pPr>
        <w:pStyle w:val="18"/>
        <w:spacing w:line="360" w:lineRule="auto"/>
        <w:ind w:firstLine="0"/>
        <w:outlineLvl w:val="2"/>
        <w:rPr>
          <w:rFonts w:eastAsia="楷体_GB2312"/>
          <w:b/>
          <w:color w:val="1F497D"/>
          <w:spacing w:val="10"/>
          <w:kern w:val="28"/>
          <w:sz w:val="30"/>
          <w:szCs w:val="30"/>
        </w:rPr>
      </w:pPr>
      <w:r>
        <w:rPr>
          <w:rFonts w:eastAsia="楷体_GB2312"/>
          <w:b/>
          <w:color w:val="1F497D"/>
          <w:spacing w:val="10"/>
          <w:kern w:val="28"/>
          <w:sz w:val="30"/>
          <w:szCs w:val="30"/>
        </w:rPr>
        <w:t>3.4.1 做强氢能产业集群</w:t>
      </w:r>
    </w:p>
    <w:p w14:paraId="6EDDBF1C">
      <w:pPr>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以壮大大同市能产业规模和增强核心竞争力为目标，</w:t>
      </w:r>
      <w:r>
        <w:rPr>
          <w:rFonts w:ascii="Times New Roman" w:hAnsi="Times New Roman" w:eastAsia="楷体_GB2312" w:cs="Times New Roman"/>
          <w:sz w:val="28"/>
          <w:szCs w:val="28"/>
        </w:rPr>
        <w:t>依托大同市充足、优质氢源优势，吸引氢能储存、运输、应用环节的研发、制造、检测企业落地大同市，逐步培育出大同市全产业链集群发展一体化优势。</w:t>
      </w:r>
    </w:p>
    <w:p w14:paraId="1EE72EAA">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氢气制备与提纯环节——</w:t>
      </w:r>
      <w:r>
        <w:rPr>
          <w:rFonts w:hint="eastAsia" w:ascii="Times New Roman" w:hAnsi="Times New Roman" w:eastAsia="楷体_GB2312" w:cs="Times New Roman"/>
          <w:sz w:val="28"/>
          <w:szCs w:val="28"/>
        </w:rPr>
        <w:t>依托大同市风电、光电等可再生能源发电的产业基础，大力发展可再生能源发电-电解水制氢，作为作为大同市氢能产业近、中期发展主要氢源。另外，布局工业富氢尾气制氢、火力发电-电解水制氢和</w:t>
      </w:r>
      <w:r>
        <w:rPr>
          <w:rFonts w:ascii="Times New Roman" w:hAnsi="Times New Roman" w:eastAsia="楷体_GB2312" w:cs="Times New Roman"/>
          <w:sz w:val="28"/>
          <w:szCs w:val="28"/>
        </w:rPr>
        <w:t>分布式甲醇制氢</w:t>
      </w:r>
      <w:r>
        <w:rPr>
          <w:rFonts w:hint="eastAsia" w:ascii="Times New Roman" w:hAnsi="Times New Roman" w:eastAsia="楷体_GB2312" w:cs="Times New Roman"/>
          <w:sz w:val="28"/>
          <w:szCs w:val="28"/>
        </w:rPr>
        <w:t>，作为大同市氢能产业近、中期发展的氢源补充。同时，依托大同市煤炭资源优势和煤化工基础，推动“煤气化+CCUS”耦合低碳制氢技术进行工业示范。远期，待“煤气化+CCUS”耦合低碳制氢技术成熟后，进行大规模发展。构建大同市可再生能源发电-电解水制氢、电网灵活调峰电解水制氢、工业富氢尾气制氢、化工原料制氢、煤制氢的多元化制氢格局，为大同市</w:t>
      </w:r>
      <w:r>
        <w:rPr>
          <w:rFonts w:ascii="Times New Roman" w:hAnsi="Times New Roman" w:eastAsia="楷体_GB2312" w:cs="Times New Roman"/>
          <w:sz w:val="28"/>
          <w:szCs w:val="28"/>
        </w:rPr>
        <w:t>氢能</w:t>
      </w:r>
      <w:r>
        <w:rPr>
          <w:rFonts w:hint="eastAsia" w:ascii="Times New Roman" w:hAnsi="Times New Roman" w:eastAsia="楷体_GB2312" w:cs="Times New Roman"/>
          <w:sz w:val="28"/>
          <w:szCs w:val="28"/>
        </w:rPr>
        <w:t>产业的发展提供氢源保障。</w:t>
      </w:r>
    </w:p>
    <w:p w14:paraId="5AED51A4">
      <w:pPr>
        <w:spacing w:line="360" w:lineRule="auto"/>
        <w:ind w:firstLine="562" w:firstLineChars="200"/>
        <w:rPr>
          <w:rFonts w:ascii="楷体" w:hAnsi="楷体" w:eastAsia="楷体"/>
          <w:sz w:val="28"/>
          <w:szCs w:val="28"/>
        </w:rPr>
      </w:pPr>
      <w:r>
        <w:rPr>
          <w:rFonts w:hint="eastAsia" w:ascii="Times New Roman" w:hAnsi="Times New Roman" w:eastAsia="楷体_GB2312" w:cs="Times New Roman"/>
          <w:b/>
          <w:sz w:val="28"/>
          <w:szCs w:val="30"/>
        </w:rPr>
        <w:t>氢能的储运和加注环节——</w:t>
      </w:r>
      <w:r>
        <w:rPr>
          <w:rFonts w:hint="eastAsia" w:ascii="Times New Roman" w:hAnsi="Times New Roman" w:eastAsia="楷体_GB2312" w:cs="Times New Roman"/>
          <w:sz w:val="28"/>
          <w:szCs w:val="30"/>
        </w:rPr>
        <w:t>高压气态储氢技术是目前最为成熟，大同市依托国内现有技术进行70MPa及以上高压氢气储罐、天然气管网输氢、纯氢管道输送、天然气掺氢技术和关键设备的开发；积极与AP、普莱克斯、法液空、国富氢能、中科富海等国内外知名企业技术合作，进行液化技术、液氢储罐、液氢槽车等关键技术和设备的开发；积极与日本千代田株式会社、氢阳能源控股有限公司、中船712等企业所合作，进行有机储氢液体、储脱氢工艺以及关键设备的开发。</w:t>
      </w:r>
      <w:r>
        <w:rPr>
          <w:rFonts w:hint="eastAsia" w:ascii="Times New Roman" w:hAnsi="Times New Roman" w:eastAsia="楷体_GB2312" w:cs="Times New Roman"/>
          <w:sz w:val="28"/>
          <w:szCs w:val="28"/>
        </w:rPr>
        <w:t>最后形成气态储运、液态储运、有机液体储运和天然气管网混合储运的多元储氢和输氢体系。</w:t>
      </w:r>
      <w:r>
        <w:rPr>
          <w:rFonts w:hint="eastAsia" w:ascii="Times New Roman" w:hAnsi="Times New Roman" w:eastAsia="楷体_GB2312" w:cs="Times New Roman"/>
          <w:sz w:val="28"/>
          <w:szCs w:val="30"/>
        </w:rPr>
        <w:t>在加氢站方面，开展加氢站外供氢、现场制氢、液氢加氢站、加注一体化模式的研发与示范应用。</w:t>
      </w:r>
    </w:p>
    <w:p w14:paraId="42432714">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氢燃料电池制造——</w:t>
      </w:r>
      <w:r>
        <w:rPr>
          <w:rFonts w:hint="eastAsia" w:ascii="Times New Roman" w:hAnsi="Times New Roman" w:eastAsia="楷体_GB2312" w:cs="Times New Roman"/>
          <w:sz w:val="28"/>
          <w:szCs w:val="28"/>
        </w:rPr>
        <w:t>近期，依托新研氢能和雄韬氢雄的氢燃料电池项目，打造大功率石墨电极燃料电池和金属双极版燃料电池生产线；同时，通过自主研发和国内外技术引入实现对膜电极、质子交换膜、催化剂、氢气循环泵等关键技术和设备的开发，并进行示范和生产。</w:t>
      </w:r>
    </w:p>
    <w:p w14:paraId="4E568696">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氢能源应用领域——</w:t>
      </w:r>
      <w:r>
        <w:rPr>
          <w:rFonts w:hint="eastAsia" w:ascii="Times New Roman" w:hAnsi="Times New Roman" w:eastAsia="楷体_GB2312" w:cs="Times New Roman"/>
          <w:sz w:val="28"/>
          <w:szCs w:val="28"/>
        </w:rPr>
        <w:t>依托陕汽、中植、中车集团等在大同市的产业基础，加快氢燃料电池整车装备和关键技术突破。近期，主要进行燃料电池公交车、大巴车、机车、物流车、专用车及重卡等车辆装备的制造和量产。远期，进行乘用车装备的制造和运营示范；进行固定应急电源、移动电源和氢燃料电池家用热电联供系统的开发、生产和试点建设。</w:t>
      </w:r>
    </w:p>
    <w:p w14:paraId="579DBF5F">
      <w:pPr>
        <w:pStyle w:val="18"/>
        <w:spacing w:line="360" w:lineRule="auto"/>
        <w:ind w:firstLine="0"/>
        <w:outlineLvl w:val="2"/>
        <w:rPr>
          <w:rFonts w:eastAsia="楷体_GB2312"/>
          <w:b/>
          <w:color w:val="1F497D"/>
          <w:spacing w:val="10"/>
          <w:kern w:val="28"/>
          <w:sz w:val="30"/>
          <w:szCs w:val="30"/>
        </w:rPr>
      </w:pPr>
      <w:r>
        <w:rPr>
          <w:rFonts w:eastAsia="楷体_GB2312"/>
          <w:b/>
          <w:color w:val="1F497D"/>
          <w:spacing w:val="10"/>
          <w:kern w:val="28"/>
          <w:sz w:val="30"/>
          <w:szCs w:val="30"/>
        </w:rPr>
        <w:t xml:space="preserve">3.4.2 </w:t>
      </w:r>
      <w:r>
        <w:rPr>
          <w:rFonts w:hint="eastAsia" w:eastAsia="楷体_GB2312"/>
          <w:b/>
          <w:color w:val="1F497D"/>
          <w:spacing w:val="10"/>
          <w:kern w:val="28"/>
          <w:sz w:val="30"/>
          <w:szCs w:val="30"/>
        </w:rPr>
        <w:t>健全</w:t>
      </w:r>
      <w:r>
        <w:rPr>
          <w:rFonts w:eastAsia="楷体_GB2312"/>
          <w:b/>
          <w:color w:val="1F497D"/>
          <w:spacing w:val="10"/>
          <w:kern w:val="28"/>
          <w:sz w:val="30"/>
          <w:szCs w:val="30"/>
        </w:rPr>
        <w:t>创新体系</w:t>
      </w:r>
    </w:p>
    <w:p w14:paraId="2DF3FCFF">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建立氢能产业研发平台</w:t>
      </w:r>
      <w:r>
        <w:rPr>
          <w:rFonts w:hint="eastAsia" w:ascii="Times New Roman" w:hAnsi="Times New Roman" w:eastAsia="楷体_GB2312" w:cs="Times New Roman"/>
          <w:sz w:val="28"/>
          <w:szCs w:val="28"/>
        </w:rPr>
        <w:t>——依托</w:t>
      </w:r>
      <w:r>
        <w:rPr>
          <w:rFonts w:ascii="Times New Roman" w:hAnsi="Times New Roman" w:eastAsia="楷体_GB2312" w:cs="Times New Roman"/>
          <w:sz w:val="28"/>
          <w:szCs w:val="28"/>
        </w:rPr>
        <w:t>“氢都”大同新能源产业城和大同市能源改革科技创新产业园</w:t>
      </w:r>
      <w:r>
        <w:rPr>
          <w:rFonts w:hint="eastAsia" w:ascii="Times New Roman" w:hAnsi="Times New Roman" w:eastAsia="楷体_GB2312" w:cs="Times New Roman"/>
          <w:sz w:val="28"/>
          <w:szCs w:val="28"/>
        </w:rPr>
        <w:t>的技术研发资源优势，联合国内外重点高校，积极引入美国AP、法液空、德国Linde等国际公司的先进技术和资金，建立大同市氢能产业研发平台，着重进行氢能基础技术研发、氢能企业孵化、氢能科技成果转化以及氢能制造业。依托同煤集团、雄韬氢雄、</w:t>
      </w:r>
      <w:r>
        <w:rPr>
          <w:rFonts w:ascii="Times New Roman" w:hAnsi="Times New Roman" w:eastAsia="楷体_GB2312" w:cs="Times New Roman"/>
          <w:sz w:val="28"/>
          <w:szCs w:val="28"/>
        </w:rPr>
        <w:t>新研氢能</w:t>
      </w:r>
      <w:r>
        <w:rPr>
          <w:rFonts w:hint="eastAsia" w:ascii="Times New Roman" w:hAnsi="Times New Roman" w:eastAsia="楷体_GB2312" w:cs="Times New Roman"/>
          <w:sz w:val="28"/>
          <w:szCs w:val="28"/>
        </w:rPr>
        <w:t>和</w:t>
      </w:r>
      <w:r>
        <w:rPr>
          <w:rFonts w:ascii="Times New Roman" w:hAnsi="Times New Roman" w:eastAsia="楷体_GB2312" w:cs="Times New Roman"/>
          <w:sz w:val="28"/>
          <w:szCs w:val="28"/>
        </w:rPr>
        <w:t>首航节能等企业</w:t>
      </w:r>
      <w:r>
        <w:rPr>
          <w:rFonts w:hint="eastAsia" w:ascii="Times New Roman" w:hAnsi="Times New Roman" w:eastAsia="楷体_GB2312" w:cs="Times New Roman"/>
          <w:sz w:val="28"/>
          <w:szCs w:val="28"/>
        </w:rPr>
        <w:t>，进行制氢、加氢、储运技术、氢燃料电池技术的集成开发、工程创新平台建设；依托</w:t>
      </w:r>
      <w:r>
        <w:rPr>
          <w:rFonts w:ascii="Times New Roman" w:hAnsi="Times New Roman" w:eastAsia="楷体_GB2312" w:cs="Times New Roman"/>
          <w:sz w:val="28"/>
          <w:szCs w:val="28"/>
        </w:rPr>
        <w:t>中车集团</w:t>
      </w:r>
      <w:r>
        <w:rPr>
          <w:rFonts w:hint="eastAsia" w:ascii="Times New Roman" w:hAnsi="Times New Roman" w:eastAsia="楷体_GB2312" w:cs="Times New Roman"/>
          <w:sz w:val="28"/>
          <w:szCs w:val="28"/>
        </w:rPr>
        <w:t>、中植一客、</w:t>
      </w:r>
      <w:r>
        <w:rPr>
          <w:rFonts w:ascii="Times New Roman" w:hAnsi="Times New Roman" w:eastAsia="楷体_GB2312" w:cs="Times New Roman"/>
          <w:sz w:val="28"/>
          <w:szCs w:val="28"/>
        </w:rPr>
        <w:t>陕汽</w:t>
      </w:r>
      <w:r>
        <w:rPr>
          <w:rFonts w:hint="eastAsia" w:ascii="Times New Roman" w:hAnsi="Times New Roman" w:eastAsia="楷体_GB2312" w:cs="Times New Roman"/>
          <w:sz w:val="28"/>
          <w:szCs w:val="28"/>
        </w:rPr>
        <w:t>等车企在汽车装备及新能源汽车的基础优势，打造氢燃料汽车开发平台，进行汽车动力系统、控制系统和整车装备的关键技术开发</w:t>
      </w:r>
      <w:r>
        <w:rPr>
          <w:rFonts w:ascii="Times New Roman" w:hAnsi="Times New Roman" w:eastAsia="楷体_GB2312" w:cs="Times New Roman"/>
          <w:sz w:val="28"/>
          <w:szCs w:val="28"/>
        </w:rPr>
        <w:t>。</w:t>
      </w:r>
      <w:r>
        <w:rPr>
          <w:rFonts w:hint="eastAsia" w:ascii="Times New Roman" w:hAnsi="Times New Roman" w:eastAsia="楷体_GB2312" w:cs="Times New Roman"/>
          <w:sz w:val="28"/>
          <w:szCs w:val="28"/>
        </w:rPr>
        <w:t xml:space="preserve"> </w:t>
      </w:r>
    </w:p>
    <w:p w14:paraId="14CBC47A">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完善创新激励制度与人才引进制度——</w:t>
      </w:r>
      <w:r>
        <w:rPr>
          <w:rFonts w:ascii="Times New Roman" w:hAnsi="Times New Roman" w:eastAsia="楷体_GB2312" w:cs="Times New Roman"/>
          <w:sz w:val="28"/>
          <w:szCs w:val="28"/>
        </w:rPr>
        <w:t>改革人才引进、使用、管理体制机制，</w:t>
      </w:r>
      <w:r>
        <w:rPr>
          <w:rFonts w:hint="eastAsia" w:ascii="Times New Roman" w:hAnsi="Times New Roman" w:eastAsia="楷体_GB2312" w:cs="Times New Roman"/>
          <w:sz w:val="28"/>
          <w:szCs w:val="28"/>
        </w:rPr>
        <w:t>加大对氢能产业</w:t>
      </w:r>
      <w:r>
        <w:rPr>
          <w:rFonts w:ascii="Times New Roman" w:hAnsi="Times New Roman" w:eastAsia="楷体_GB2312" w:cs="Times New Roman"/>
          <w:sz w:val="28"/>
          <w:szCs w:val="28"/>
        </w:rPr>
        <w:t>发展专项基金支持力度</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赋予</w:t>
      </w:r>
      <w:r>
        <w:rPr>
          <w:rFonts w:hint="eastAsia" w:ascii="Times New Roman" w:hAnsi="Times New Roman" w:eastAsia="楷体_GB2312" w:cs="Times New Roman"/>
          <w:sz w:val="28"/>
          <w:szCs w:val="28"/>
        </w:rPr>
        <w:t>氢能</w:t>
      </w:r>
      <w:r>
        <w:rPr>
          <w:rFonts w:ascii="Times New Roman" w:hAnsi="Times New Roman" w:eastAsia="楷体_GB2312" w:cs="Times New Roman"/>
          <w:sz w:val="28"/>
          <w:szCs w:val="28"/>
        </w:rPr>
        <w:t>领域域领军人才技术路线决策权、项目经费调剂权、创新团队组建权、薪酬分配自主权。</w:t>
      </w:r>
      <w:r>
        <w:rPr>
          <w:rFonts w:hint="eastAsia" w:ascii="Times New Roman" w:hAnsi="Times New Roman" w:eastAsia="楷体_GB2312" w:cs="Times New Roman"/>
          <w:sz w:val="28"/>
          <w:szCs w:val="28"/>
        </w:rPr>
        <w:t>不断吸引</w:t>
      </w:r>
      <w:r>
        <w:rPr>
          <w:rFonts w:ascii="Times New Roman" w:hAnsi="Times New Roman" w:eastAsia="楷体_GB2312" w:cs="Times New Roman"/>
          <w:sz w:val="28"/>
          <w:szCs w:val="28"/>
        </w:rPr>
        <w:t>国内外知名研究机构在大同市设立分支机构、氢能应用重点示范工程，着力支持氢能产业领域重大科技成果产业化、重大应用示范、创新能力建设、公共技术服务平台建设等。</w:t>
      </w:r>
      <w:r>
        <w:rPr>
          <w:rFonts w:hint="eastAsia" w:ascii="Times New Roman" w:hAnsi="Times New Roman" w:eastAsia="楷体_GB2312" w:cs="Times New Roman"/>
          <w:sz w:val="28"/>
          <w:szCs w:val="28"/>
        </w:rPr>
        <w:t>全力打造大同市“</w:t>
      </w:r>
      <w:r>
        <w:rPr>
          <w:rFonts w:ascii="Times New Roman" w:hAnsi="Times New Roman" w:eastAsia="楷体_GB2312" w:cs="Times New Roman"/>
          <w:sz w:val="28"/>
          <w:szCs w:val="28"/>
        </w:rPr>
        <w:t>技术</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人才+资本+服务</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四位一体科技成果产业化模式。</w:t>
      </w:r>
      <w:r>
        <w:rPr>
          <w:rFonts w:hint="eastAsia" w:ascii="Times New Roman" w:hAnsi="Times New Roman" w:eastAsia="楷体_GB2312" w:cs="Times New Roman"/>
          <w:sz w:val="28"/>
          <w:szCs w:val="28"/>
        </w:rPr>
        <w:t xml:space="preserve"> </w:t>
      </w:r>
    </w:p>
    <w:p w14:paraId="6FFF1632">
      <w:pPr>
        <w:pStyle w:val="5"/>
      </w:pPr>
      <w:r>
        <w:rPr>
          <w:rFonts w:hint="eastAsia"/>
        </w:rPr>
        <w:t>3.4.3 试点建设</w:t>
      </w:r>
    </w:p>
    <w:p w14:paraId="1A41E749">
      <w:pPr>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将氢能产业的可持续发展与经济社会发展深度融合，通过示范应用，加速全市氢能产业化、规模化、商业化的进程。推进氢能基础设施建设，形成完善的配套基础设施，近期通过打造试点城市进行模式探索和示范，成熟后逐渐形成覆盖全市的制氢、储氢、运氢和加氢配套基础设施网络。</w:t>
      </w:r>
    </w:p>
    <w:p w14:paraId="20D0F4F3">
      <w:pPr>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近期，主要进行制氢、氢燃料电池及氢燃料电池汽车的示范。启动同煤氢气规模化制取、提纯、运输工程，开展可再生能源发电-电解水制氢以及分布式甲醇制氢示范。建成新研氢能氢燃料电池项目，加快雄韬氢雄氢燃料发动机动力总成项目，启动中车集团氢燃料电池动力机车等氢能动力系统及整车示范项目。推进氢燃料电池汽车发展试点示范，打造氢燃料电池公交示范线路，进行城市间的中短途大巴的示范，推广氢燃料中巴车作为政府用车的示范应用；在城区内物流密集区域，推广氢燃料电池物流车的应用；打造垃圾清运、洒水车等氢燃料市政车辆的示范城市；</w:t>
      </w:r>
      <w:r>
        <w:rPr>
          <w:rFonts w:ascii="Times New Roman" w:hAnsi="Times New Roman" w:eastAsia="楷体_GB2312" w:cs="Times New Roman"/>
          <w:sz w:val="28"/>
          <w:szCs w:val="28"/>
        </w:rPr>
        <w:t>鼓励大同市结合自身旅游资源，在内外知名旅游景点内开展绿色氢燃料旅游用车、摆渡车等示范标杆项目</w:t>
      </w:r>
      <w:r>
        <w:rPr>
          <w:rFonts w:hint="eastAsia" w:ascii="Times New Roman" w:hAnsi="Times New Roman" w:eastAsia="楷体_GB2312" w:cs="Times New Roman"/>
          <w:sz w:val="28"/>
          <w:szCs w:val="28"/>
        </w:rPr>
        <w:t>；打造煤炭运输氢燃料重卡的示范线，加快陕汽重载汽车“柴转氢”试点。</w:t>
      </w:r>
    </w:p>
    <w:p w14:paraId="1C2F9EBA">
      <w:pPr>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远期，进一步拓展氢能应用范围，推进氢能社区示范工程，在学校、商场及居民小区等区域发展燃料电池基站备电、热电联供、分布式发电/储能及应急救灾等；鼓励氢燃料电池发电系统在消费电子、无人机、工业场景、家用电器等领域的示范应用；</w:t>
      </w:r>
      <w:r>
        <w:rPr>
          <w:rFonts w:ascii="Times New Roman" w:hAnsi="Times New Roman" w:eastAsia="楷体_GB2312" w:cs="Times New Roman"/>
          <w:sz w:val="28"/>
          <w:szCs w:val="28"/>
        </w:rPr>
        <w:t>与铁塔公司、电网公司在备用电源、 特别是通信设备备用电源环节开展燃料电池备用电源示范项目。</w:t>
      </w:r>
    </w:p>
    <w:p w14:paraId="63D3E6FF">
      <w:pPr>
        <w:pStyle w:val="4"/>
      </w:pPr>
      <w:bookmarkStart w:id="57" w:name="_Toc52377961"/>
      <w:bookmarkStart w:id="58" w:name="_Toc18359823"/>
      <w:r>
        <w:rPr>
          <w:rFonts w:hint="eastAsia"/>
        </w:rPr>
        <w:t>3.5</w:t>
      </w:r>
      <w:r>
        <w:t xml:space="preserve"> </w:t>
      </w:r>
      <w:r>
        <w:rPr>
          <w:rFonts w:hint="eastAsia"/>
        </w:rPr>
        <w:t>发展目标</w:t>
      </w:r>
      <w:bookmarkEnd w:id="57"/>
      <w:bookmarkEnd w:id="58"/>
    </w:p>
    <w:p w14:paraId="26A3A4C7">
      <w:pPr>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大同市氢能产业发展目标分为近期（</w:t>
      </w:r>
      <w:r>
        <w:rPr>
          <w:rFonts w:ascii="Times New Roman" w:hAnsi="Times New Roman" w:eastAsia="楷体_GB2312" w:cs="Times New Roman"/>
          <w:sz w:val="28"/>
          <w:szCs w:val="28"/>
        </w:rPr>
        <w:t>20</w:t>
      </w:r>
      <w:r>
        <w:rPr>
          <w:rFonts w:hint="eastAsia" w:ascii="Times New Roman" w:hAnsi="Times New Roman" w:eastAsia="楷体_GB2312" w:cs="Times New Roman"/>
          <w:sz w:val="28"/>
          <w:szCs w:val="28"/>
        </w:rPr>
        <w:t>20</w:t>
      </w:r>
      <w:r>
        <w:rPr>
          <w:rFonts w:ascii="Times New Roman" w:hAnsi="Times New Roman" w:eastAsia="楷体_GB2312" w:cs="Times New Roman"/>
          <w:sz w:val="28"/>
          <w:szCs w:val="28"/>
        </w:rPr>
        <w:t>~2023</w:t>
      </w:r>
      <w:r>
        <w:rPr>
          <w:rFonts w:hint="eastAsia" w:ascii="Times New Roman" w:hAnsi="Times New Roman" w:eastAsia="楷体_GB2312" w:cs="Times New Roman"/>
          <w:sz w:val="28"/>
          <w:szCs w:val="28"/>
        </w:rPr>
        <w:t>年）、中期（</w:t>
      </w:r>
      <w:r>
        <w:rPr>
          <w:rFonts w:ascii="Times New Roman" w:hAnsi="Times New Roman" w:eastAsia="楷体_GB2312" w:cs="Times New Roman"/>
          <w:sz w:val="28"/>
          <w:szCs w:val="28"/>
        </w:rPr>
        <w:t>202</w:t>
      </w:r>
      <w:r>
        <w:rPr>
          <w:rFonts w:hint="eastAsia" w:ascii="Times New Roman" w:hAnsi="Times New Roman" w:eastAsia="楷体_GB2312" w:cs="Times New Roman"/>
          <w:sz w:val="28"/>
          <w:szCs w:val="28"/>
        </w:rPr>
        <w:t>3</w:t>
      </w:r>
      <w:r>
        <w:rPr>
          <w:rFonts w:ascii="Times New Roman" w:hAnsi="Times New Roman" w:eastAsia="楷体_GB2312" w:cs="Times New Roman"/>
          <w:sz w:val="28"/>
          <w:szCs w:val="28"/>
        </w:rPr>
        <w:t xml:space="preserve">~2025 </w:t>
      </w:r>
      <w:r>
        <w:rPr>
          <w:rFonts w:hint="eastAsia" w:ascii="Times New Roman" w:hAnsi="Times New Roman" w:eastAsia="楷体_GB2312" w:cs="Times New Roman"/>
          <w:sz w:val="28"/>
          <w:szCs w:val="28"/>
        </w:rPr>
        <w:t>年）和远期（</w:t>
      </w:r>
      <w:r>
        <w:rPr>
          <w:rFonts w:ascii="Times New Roman" w:hAnsi="Times New Roman" w:eastAsia="楷体_GB2312" w:cs="Times New Roman"/>
          <w:sz w:val="28"/>
          <w:szCs w:val="28"/>
        </w:rPr>
        <w:t>2026~203</w:t>
      </w:r>
      <w:r>
        <w:rPr>
          <w:rFonts w:hint="eastAsia" w:ascii="Times New Roman" w:hAnsi="Times New Roman" w:eastAsia="楷体_GB2312" w:cs="Times New Roman"/>
          <w:sz w:val="28"/>
          <w:szCs w:val="28"/>
        </w:rPr>
        <w:t>0年）三个阶段，具体目标如下：</w:t>
      </w:r>
    </w:p>
    <w:p w14:paraId="1660F3BB">
      <w:pPr>
        <w:pStyle w:val="18"/>
        <w:spacing w:line="360" w:lineRule="auto"/>
        <w:ind w:firstLine="0"/>
        <w:outlineLvl w:val="2"/>
        <w:rPr>
          <w:rFonts w:eastAsia="楷体_GB2312"/>
          <w:b/>
          <w:color w:val="1F497D"/>
          <w:spacing w:val="10"/>
          <w:kern w:val="28"/>
          <w:sz w:val="30"/>
          <w:szCs w:val="30"/>
        </w:rPr>
      </w:pPr>
      <w:r>
        <w:rPr>
          <w:rFonts w:eastAsia="楷体_GB2312"/>
          <w:b/>
          <w:color w:val="1F497D"/>
          <w:spacing w:val="10"/>
          <w:kern w:val="28"/>
          <w:sz w:val="30"/>
          <w:szCs w:val="30"/>
        </w:rPr>
        <w:t>3.5.1 近期发展目标（2020年-2023年）</w:t>
      </w:r>
    </w:p>
    <w:p w14:paraId="73D545AD">
      <w:pPr>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近期发展目标：到202</w:t>
      </w:r>
      <w:r>
        <w:rPr>
          <w:rFonts w:ascii="Times New Roman" w:hAnsi="Times New Roman" w:eastAsia="楷体_GB2312" w:cs="Times New Roman"/>
          <w:sz w:val="28"/>
          <w:szCs w:val="28"/>
        </w:rPr>
        <w:t>3</w:t>
      </w:r>
      <w:r>
        <w:rPr>
          <w:rFonts w:hint="eastAsia" w:ascii="Times New Roman" w:hAnsi="Times New Roman" w:eastAsia="楷体_GB2312" w:cs="Times New Roman"/>
          <w:sz w:val="28"/>
          <w:szCs w:val="28"/>
        </w:rPr>
        <w:t>年，全市氢能产业规模持续增长，氢能产业体系、产业技术支撑平台与配套设施不断完善，产业空间布局进一步优化，氢能示范项目有序推进，氢能产业集聚发展格局基本形成。</w:t>
      </w:r>
    </w:p>
    <w:p w14:paraId="69C084D3">
      <w:pPr>
        <w:spacing w:line="360" w:lineRule="auto"/>
        <w:ind w:firstLine="562" w:firstLineChars="200"/>
        <w:rPr>
          <w:rFonts w:ascii="Times New Roman" w:hAnsi="Times New Roman" w:eastAsia="楷体_GB2312" w:cs="Times New Roman"/>
          <w:b/>
          <w:sz w:val="28"/>
          <w:szCs w:val="28"/>
        </w:rPr>
      </w:pPr>
      <w:r>
        <w:rPr>
          <w:rFonts w:hint="eastAsia" w:ascii="Times New Roman" w:hAnsi="Times New Roman" w:eastAsia="楷体_GB2312" w:cs="Times New Roman"/>
          <w:b/>
          <w:sz w:val="28"/>
          <w:szCs w:val="28"/>
        </w:rPr>
        <w:t>产业规模——到202</w:t>
      </w:r>
      <w:r>
        <w:rPr>
          <w:rFonts w:ascii="Times New Roman" w:hAnsi="Times New Roman" w:eastAsia="楷体_GB2312" w:cs="Times New Roman"/>
          <w:b/>
          <w:sz w:val="28"/>
          <w:szCs w:val="28"/>
        </w:rPr>
        <w:t>3</w:t>
      </w:r>
      <w:r>
        <w:rPr>
          <w:rFonts w:hint="eastAsia" w:ascii="Times New Roman" w:hAnsi="Times New Roman" w:eastAsia="楷体_GB2312" w:cs="Times New Roman"/>
          <w:b/>
          <w:sz w:val="28"/>
          <w:szCs w:val="28"/>
        </w:rPr>
        <w:t>年，</w:t>
      </w:r>
      <w:r>
        <w:rPr>
          <w:rFonts w:hint="eastAsia" w:ascii="Times New Roman" w:hAnsi="Times New Roman" w:eastAsia="楷体_GB2312" w:cs="Times New Roman"/>
          <w:sz w:val="28"/>
          <w:szCs w:val="28"/>
        </w:rPr>
        <w:t>形成以可再生能源制氢发电-煤制氢为主体的氢能能源供应体系，构建制氢-运氢-加氢-用氢的完整产业链，完善氢燃料汽车核心装备研发、制造、产业化及应用各环节上的产业链，形成氢能产业的闭环、循环、健康发展形式，值此，全市氢能产业链工业年产值达到100亿元。其中：制氢产业规模约为10亿元，氢能储运装备产业规模约为20亿元，氢燃料电池及关键零部件产业约为25亿元，氢燃料电池汽车整车产业约为25亿元，其他氢能制造产业产值约20亿。</w:t>
      </w:r>
    </w:p>
    <w:p w14:paraId="1EC32BC4">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龙头企业——到202</w:t>
      </w:r>
      <w:r>
        <w:rPr>
          <w:rFonts w:ascii="Times New Roman" w:hAnsi="Times New Roman" w:eastAsia="楷体_GB2312" w:cs="Times New Roman"/>
          <w:b/>
          <w:sz w:val="28"/>
          <w:szCs w:val="28"/>
        </w:rPr>
        <w:t>3</w:t>
      </w:r>
      <w:r>
        <w:rPr>
          <w:rFonts w:hint="eastAsia" w:ascii="Times New Roman" w:hAnsi="Times New Roman" w:eastAsia="楷体_GB2312" w:cs="Times New Roman"/>
          <w:b/>
          <w:sz w:val="28"/>
          <w:szCs w:val="28"/>
        </w:rPr>
        <w:t>年，</w:t>
      </w:r>
      <w:r>
        <w:rPr>
          <w:rFonts w:hint="eastAsia" w:ascii="Times New Roman" w:hAnsi="Times New Roman" w:eastAsia="楷体_GB2312" w:cs="Times New Roman"/>
          <w:sz w:val="28"/>
          <w:szCs w:val="28"/>
        </w:rPr>
        <w:t>全市氢能龙头企业示范作用增强，引进或培育一批产业链核心企业，形成具有较强竞争力的产业集群。培育氢能相关企业40家以上，产业链核心企业4-7家，其中氢能制备企业1-2家，氢能核心装备制造企业2-3家，氢能应用企业1-2家，投资总规模达到50亿元。</w:t>
      </w:r>
    </w:p>
    <w:p w14:paraId="7FBD27E1">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创新能力——到202</w:t>
      </w:r>
      <w:r>
        <w:rPr>
          <w:rFonts w:ascii="Times New Roman" w:hAnsi="Times New Roman" w:eastAsia="楷体_GB2312" w:cs="Times New Roman"/>
          <w:b/>
          <w:sz w:val="28"/>
          <w:szCs w:val="28"/>
        </w:rPr>
        <w:t>3</w:t>
      </w:r>
      <w:r>
        <w:rPr>
          <w:rFonts w:hint="eastAsia" w:ascii="Times New Roman" w:hAnsi="Times New Roman" w:eastAsia="楷体_GB2312" w:cs="Times New Roman"/>
          <w:b/>
          <w:sz w:val="28"/>
          <w:szCs w:val="28"/>
        </w:rPr>
        <w:t>年，</w:t>
      </w:r>
      <w:r>
        <w:rPr>
          <w:rFonts w:ascii="Times New Roman" w:hAnsi="Times New Roman" w:eastAsia="楷体_GB2312" w:cs="Times New Roman"/>
          <w:sz w:val="28"/>
          <w:szCs w:val="28"/>
        </w:rPr>
        <w:t>重点攻克以煤制氢、工业副产制氢、CCUS等技术，实现氢气的低成本与清洁制备，同步开展氢气液化、压缩环节技术、氢气储运设备的研发攻关和行业标准制定，支持发展储氢设备质量检测中心。在应用环节着重通过产业引进、自主创新，实现燃料电池重型卡车、燃料机车、市政环保专用车的本地化制造生产。推动燃料电池发动机相关核心技术研究，建设市级氢能创新孵化平台。</w:t>
      </w:r>
    </w:p>
    <w:p w14:paraId="62CFFDD8">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示范试点——到202</w:t>
      </w:r>
      <w:r>
        <w:rPr>
          <w:rFonts w:ascii="Times New Roman" w:hAnsi="Times New Roman" w:eastAsia="楷体_GB2312" w:cs="Times New Roman"/>
          <w:b/>
          <w:sz w:val="28"/>
          <w:szCs w:val="28"/>
        </w:rPr>
        <w:t>3</w:t>
      </w:r>
      <w:r>
        <w:rPr>
          <w:rFonts w:hint="eastAsia" w:ascii="Times New Roman" w:hAnsi="Times New Roman" w:eastAsia="楷体_GB2312" w:cs="Times New Roman"/>
          <w:b/>
          <w:sz w:val="28"/>
          <w:szCs w:val="28"/>
        </w:rPr>
        <w:t>年，</w:t>
      </w:r>
      <w:r>
        <w:rPr>
          <w:rFonts w:ascii="Times New Roman" w:hAnsi="Times New Roman" w:eastAsia="楷体_GB2312" w:cs="Times New Roman"/>
          <w:sz w:val="28"/>
          <w:szCs w:val="28"/>
        </w:rPr>
        <w:t>在交通运输领域扩大氢燃料汽车示范线路数量和加氢站示范建设，氢燃料</w:t>
      </w:r>
      <w:r>
        <w:rPr>
          <w:rFonts w:hint="eastAsia" w:ascii="Times New Roman" w:hAnsi="Times New Roman" w:eastAsia="楷体_GB2312" w:cs="Times New Roman"/>
          <w:sz w:val="28"/>
          <w:szCs w:val="28"/>
        </w:rPr>
        <w:t>汽车示范</w:t>
      </w:r>
      <w:r>
        <w:rPr>
          <w:rFonts w:ascii="Times New Roman" w:hAnsi="Times New Roman" w:eastAsia="楷体_GB2312" w:cs="Times New Roman"/>
          <w:sz w:val="28"/>
          <w:szCs w:val="28"/>
        </w:rPr>
        <w:t>投放数量达到</w:t>
      </w:r>
      <w:r>
        <w:rPr>
          <w:rFonts w:hint="eastAsia" w:ascii="Times New Roman" w:hAnsi="Times New Roman" w:eastAsia="楷体_GB2312" w:cs="Times New Roman"/>
          <w:sz w:val="28"/>
          <w:szCs w:val="28"/>
        </w:rPr>
        <w:t>1000</w:t>
      </w:r>
      <w:r>
        <w:rPr>
          <w:rFonts w:ascii="Times New Roman" w:hAnsi="Times New Roman" w:eastAsia="楷体_GB2312" w:cs="Times New Roman"/>
          <w:sz w:val="28"/>
          <w:szCs w:val="28"/>
        </w:rPr>
        <w:t>辆</w:t>
      </w:r>
      <w:r>
        <w:rPr>
          <w:rFonts w:hint="eastAsia" w:ascii="Times New Roman" w:hAnsi="Times New Roman" w:eastAsia="楷体_GB2312" w:cs="Times New Roman"/>
          <w:sz w:val="28"/>
          <w:szCs w:val="28"/>
        </w:rPr>
        <w:t>以上</w:t>
      </w:r>
      <w:r>
        <w:rPr>
          <w:rFonts w:ascii="Times New Roman" w:hAnsi="Times New Roman" w:eastAsia="楷体_GB2312" w:cs="Times New Roman"/>
          <w:sz w:val="28"/>
          <w:szCs w:val="28"/>
        </w:rPr>
        <w:t>，加氢能力不低于500kg/天的示范性加氢站数量达到</w:t>
      </w:r>
      <w:r>
        <w:rPr>
          <w:rFonts w:hint="eastAsia" w:ascii="Times New Roman" w:hAnsi="Times New Roman" w:eastAsia="楷体_GB2312" w:cs="Times New Roman"/>
          <w:sz w:val="28"/>
          <w:szCs w:val="28"/>
        </w:rPr>
        <w:t>17</w:t>
      </w:r>
      <w:r>
        <w:rPr>
          <w:rFonts w:ascii="Times New Roman" w:hAnsi="Times New Roman" w:eastAsia="楷体_GB2312" w:cs="Times New Roman"/>
          <w:sz w:val="28"/>
          <w:szCs w:val="28"/>
        </w:rPr>
        <w:t>座，氢燃料公交路线基本覆盖主城区主要交通路线。</w:t>
      </w:r>
    </w:p>
    <w:p w14:paraId="1B8ADBE2">
      <w:pPr>
        <w:spacing w:line="360" w:lineRule="auto"/>
        <w:ind w:firstLine="560" w:firstLineChars="200"/>
        <w:rPr>
          <w:rFonts w:ascii="Times New Roman" w:hAnsi="Times New Roman" w:eastAsia="楷体_GB2312" w:cs="Times New Roman"/>
          <w:sz w:val="28"/>
          <w:szCs w:val="28"/>
        </w:rPr>
      </w:pPr>
      <w:r>
        <w:rPr>
          <w:rFonts w:ascii="Times New Roman" w:hAnsi="Times New Roman" w:eastAsia="楷体_GB2312" w:cs="Times New Roman"/>
          <w:sz w:val="28"/>
          <w:szCs w:val="28"/>
        </w:rPr>
        <w:t>结合能源革命“十大农村、十大社区、十大校园” 工程，开展氢能燃料电池联供技术应用示范、混氢天然气小区应用示范</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与铁塔公司、电网公司合作开展氢燃料电池备用电源的示范应用。</w:t>
      </w:r>
    </w:p>
    <w:p w14:paraId="7D30AE46">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产业布局——到202</w:t>
      </w:r>
      <w:r>
        <w:rPr>
          <w:rFonts w:ascii="Times New Roman" w:hAnsi="Times New Roman" w:eastAsia="楷体_GB2312" w:cs="Times New Roman"/>
          <w:b/>
          <w:sz w:val="28"/>
          <w:szCs w:val="28"/>
        </w:rPr>
        <w:t>3</w:t>
      </w:r>
      <w:r>
        <w:rPr>
          <w:rFonts w:hint="eastAsia" w:ascii="Times New Roman" w:hAnsi="Times New Roman" w:eastAsia="楷体_GB2312" w:cs="Times New Roman"/>
          <w:b/>
          <w:sz w:val="28"/>
          <w:szCs w:val="28"/>
        </w:rPr>
        <w:t>年，</w:t>
      </w:r>
      <w:r>
        <w:rPr>
          <w:rFonts w:hint="eastAsia" w:ascii="Times New Roman" w:hAnsi="Times New Roman" w:eastAsia="楷体_GB2312" w:cs="Times New Roman"/>
          <w:sz w:val="28"/>
          <w:szCs w:val="28"/>
        </w:rPr>
        <w:t>初步形成氢气制备、储运、燃料电池及应用等上下游企业结合紧密的产业链体系，技术研发、装备制造、服务功能健全的价值链体系。</w:t>
      </w:r>
    </w:p>
    <w:p w14:paraId="02100795">
      <w:pPr>
        <w:pStyle w:val="18"/>
        <w:spacing w:line="360" w:lineRule="auto"/>
        <w:ind w:firstLine="0"/>
        <w:outlineLvl w:val="2"/>
        <w:rPr>
          <w:rFonts w:eastAsia="楷体_GB2312"/>
          <w:b/>
          <w:color w:val="1F497D"/>
          <w:spacing w:val="10"/>
          <w:kern w:val="28"/>
          <w:sz w:val="30"/>
          <w:szCs w:val="30"/>
        </w:rPr>
      </w:pPr>
      <w:r>
        <w:rPr>
          <w:rFonts w:eastAsia="楷体_GB2312"/>
          <w:b/>
          <w:color w:val="1F497D"/>
          <w:spacing w:val="10"/>
          <w:kern w:val="28"/>
          <w:sz w:val="30"/>
          <w:szCs w:val="30"/>
        </w:rPr>
        <w:t>3.5.2 中期发展目标（2024年-2025年）</w:t>
      </w:r>
    </w:p>
    <w:p w14:paraId="652A7F19">
      <w:pPr>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中期发展目标：到2025年，全市氢能产业规模实现跨越式增长，氢能产业体系、配套基础设施相对完善，氢能产业关键核心技术实现重大突破，氢能产业链布局趋于完善，氢能产业集群形成规模。</w:t>
      </w:r>
    </w:p>
    <w:p w14:paraId="274F88CB">
      <w:pPr>
        <w:spacing w:line="360" w:lineRule="auto"/>
        <w:ind w:firstLine="562" w:firstLineChars="200"/>
        <w:rPr>
          <w:rFonts w:ascii="Times New Roman" w:hAnsi="Times New Roman" w:eastAsia="楷体_GB2312" w:cs="Times New Roman"/>
          <w:b/>
          <w:sz w:val="28"/>
          <w:szCs w:val="28"/>
        </w:rPr>
      </w:pPr>
      <w:r>
        <w:rPr>
          <w:rFonts w:hint="eastAsia" w:ascii="Times New Roman" w:hAnsi="Times New Roman" w:eastAsia="楷体_GB2312" w:cs="Times New Roman"/>
          <w:b/>
          <w:sz w:val="28"/>
          <w:szCs w:val="28"/>
        </w:rPr>
        <w:t>产业规模——到2025年，</w:t>
      </w:r>
      <w:r>
        <w:rPr>
          <w:rFonts w:ascii="Times New Roman" w:hAnsi="Times New Roman" w:eastAsia="楷体_GB2312" w:cs="Times New Roman"/>
          <w:sz w:val="28"/>
          <w:szCs w:val="28"/>
        </w:rPr>
        <w:t>本阶段氢能源供应基地已具备规模化效应，煤制氢低碳制</w:t>
      </w:r>
      <w:r>
        <w:rPr>
          <w:rFonts w:hint="eastAsia" w:ascii="Times New Roman" w:hAnsi="Times New Roman" w:eastAsia="楷体_GB2312" w:cs="Times New Roman"/>
          <w:sz w:val="28"/>
          <w:szCs w:val="28"/>
        </w:rPr>
        <w:t>氢</w:t>
      </w:r>
      <w:r>
        <w:rPr>
          <w:rFonts w:ascii="Times New Roman" w:hAnsi="Times New Roman" w:eastAsia="楷体_GB2312" w:cs="Times New Roman"/>
          <w:sz w:val="28"/>
          <w:szCs w:val="28"/>
        </w:rPr>
        <w:t>成本继续降低。</w:t>
      </w:r>
      <w:r>
        <w:rPr>
          <w:rFonts w:hint="eastAsia" w:ascii="Times New Roman" w:hAnsi="Times New Roman" w:eastAsia="楷体_GB2312" w:cs="Times New Roman"/>
          <w:sz w:val="28"/>
          <w:szCs w:val="28"/>
        </w:rPr>
        <w:t>继续大力发展</w:t>
      </w:r>
      <w:r>
        <w:rPr>
          <w:rFonts w:ascii="Times New Roman" w:hAnsi="Times New Roman" w:eastAsia="楷体_GB2312" w:cs="Times New Roman"/>
          <w:sz w:val="28"/>
          <w:szCs w:val="28"/>
        </w:rPr>
        <w:t>可再生能源制氢</w:t>
      </w:r>
      <w:r>
        <w:rPr>
          <w:rFonts w:hint="eastAsia" w:ascii="Times New Roman" w:hAnsi="Times New Roman" w:eastAsia="楷体_GB2312" w:cs="Times New Roman"/>
          <w:sz w:val="28"/>
          <w:szCs w:val="28"/>
        </w:rPr>
        <w:t>产业，</w:t>
      </w:r>
      <w:r>
        <w:rPr>
          <w:rFonts w:ascii="Times New Roman" w:hAnsi="Times New Roman" w:eastAsia="楷体_GB2312" w:cs="Times New Roman"/>
          <w:sz w:val="28"/>
          <w:szCs w:val="28"/>
        </w:rPr>
        <w:t>逐步深入开展生物质制氢</w:t>
      </w:r>
      <w:r>
        <w:rPr>
          <w:rFonts w:hint="eastAsia" w:ascii="Times New Roman" w:hAnsi="Times New Roman" w:eastAsia="楷体_GB2312" w:cs="Times New Roman"/>
          <w:sz w:val="28"/>
          <w:szCs w:val="28"/>
        </w:rPr>
        <w:t>、煤制氢</w:t>
      </w:r>
      <w:r>
        <w:rPr>
          <w:rFonts w:ascii="Times New Roman" w:hAnsi="Times New Roman" w:eastAsia="楷体_GB2312" w:cs="Times New Roman"/>
          <w:sz w:val="28"/>
          <w:szCs w:val="28"/>
        </w:rPr>
        <w:t>等多途径制氢技术研发；重点充实氢能技术转化共享研发基地功能，实现对企业技术转化的多层次、全方位服务；统筹考虑市场需求与技术成熟度条件，提速发展氢能装备制造基地，扩充基地产品线。</w:t>
      </w:r>
    </w:p>
    <w:p w14:paraId="606F85FF">
      <w:pPr>
        <w:spacing w:line="360" w:lineRule="auto"/>
        <w:ind w:firstLine="560" w:firstLineChars="200"/>
        <w:rPr>
          <w:rFonts w:ascii="Times New Roman" w:hAnsi="Times New Roman" w:eastAsia="楷体_GB2312" w:cs="Times New Roman"/>
          <w:sz w:val="28"/>
          <w:szCs w:val="28"/>
        </w:rPr>
      </w:pPr>
      <w:r>
        <w:rPr>
          <w:rFonts w:ascii="Times New Roman" w:hAnsi="Times New Roman" w:eastAsia="楷体_GB2312" w:cs="Times New Roman"/>
          <w:sz w:val="28"/>
          <w:szCs w:val="28"/>
        </w:rPr>
        <w:t>全市氢能产业链工业年产值达到</w:t>
      </w:r>
      <w:r>
        <w:rPr>
          <w:rFonts w:hint="eastAsia" w:ascii="Times New Roman" w:hAnsi="Times New Roman" w:eastAsia="楷体_GB2312" w:cs="Times New Roman"/>
          <w:sz w:val="28"/>
          <w:szCs w:val="28"/>
        </w:rPr>
        <w:t>450</w:t>
      </w:r>
      <w:r>
        <w:rPr>
          <w:rFonts w:ascii="Times New Roman" w:hAnsi="Times New Roman" w:eastAsia="楷体_GB2312" w:cs="Times New Roman"/>
          <w:sz w:val="28"/>
          <w:szCs w:val="28"/>
        </w:rPr>
        <w:t>亿元。其中：制氢产业约为</w:t>
      </w:r>
      <w:r>
        <w:rPr>
          <w:rFonts w:hint="eastAsia" w:ascii="Times New Roman" w:hAnsi="Times New Roman" w:eastAsia="楷体_GB2312" w:cs="Times New Roman"/>
          <w:sz w:val="28"/>
          <w:szCs w:val="28"/>
        </w:rPr>
        <w:t>8</w:t>
      </w:r>
      <w:r>
        <w:rPr>
          <w:rFonts w:ascii="Times New Roman" w:hAnsi="Times New Roman" w:eastAsia="楷体_GB2312" w:cs="Times New Roman"/>
          <w:sz w:val="28"/>
          <w:szCs w:val="28"/>
        </w:rPr>
        <w:t>0亿元，氢能储运装备产业约为</w:t>
      </w:r>
      <w:r>
        <w:rPr>
          <w:rFonts w:hint="eastAsia" w:ascii="Times New Roman" w:hAnsi="Times New Roman" w:eastAsia="楷体_GB2312" w:cs="Times New Roman"/>
          <w:sz w:val="28"/>
          <w:szCs w:val="28"/>
        </w:rPr>
        <w:t>12</w:t>
      </w:r>
      <w:r>
        <w:rPr>
          <w:rFonts w:ascii="Times New Roman" w:hAnsi="Times New Roman" w:eastAsia="楷体_GB2312" w:cs="Times New Roman"/>
          <w:sz w:val="28"/>
          <w:szCs w:val="28"/>
        </w:rPr>
        <w:t>0亿元，氢燃料电池及关键零部件产业约为1</w:t>
      </w:r>
      <w:r>
        <w:rPr>
          <w:rFonts w:hint="eastAsia" w:ascii="Times New Roman" w:hAnsi="Times New Roman" w:eastAsia="楷体_GB2312" w:cs="Times New Roman"/>
          <w:sz w:val="28"/>
          <w:szCs w:val="28"/>
        </w:rPr>
        <w:t>0</w:t>
      </w:r>
      <w:r>
        <w:rPr>
          <w:rFonts w:ascii="Times New Roman" w:hAnsi="Times New Roman" w:eastAsia="楷体_GB2312" w:cs="Times New Roman"/>
          <w:sz w:val="28"/>
          <w:szCs w:val="28"/>
        </w:rPr>
        <w:t>0亿元，氢燃料电池汽车整车产业约为100亿元，其他氢能制造产业产值约</w:t>
      </w:r>
      <w:r>
        <w:rPr>
          <w:rFonts w:hint="eastAsia" w:ascii="Times New Roman" w:hAnsi="Times New Roman" w:eastAsia="楷体_GB2312" w:cs="Times New Roman"/>
          <w:sz w:val="28"/>
          <w:szCs w:val="28"/>
        </w:rPr>
        <w:t>5</w:t>
      </w:r>
      <w:r>
        <w:rPr>
          <w:rFonts w:ascii="Times New Roman" w:hAnsi="Times New Roman" w:eastAsia="楷体_GB2312" w:cs="Times New Roman"/>
          <w:sz w:val="28"/>
          <w:szCs w:val="28"/>
        </w:rPr>
        <w:t>0亿。</w:t>
      </w:r>
    </w:p>
    <w:p w14:paraId="1B24A8CA">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龙头企业——到2025年，</w:t>
      </w:r>
      <w:r>
        <w:rPr>
          <w:rFonts w:ascii="Times New Roman" w:hAnsi="Times New Roman" w:eastAsia="楷体_GB2312" w:cs="Times New Roman"/>
          <w:sz w:val="28"/>
          <w:szCs w:val="28"/>
        </w:rPr>
        <w:t>培育氢能相关企业达到100家，产业链核心企业</w:t>
      </w:r>
      <w:r>
        <w:rPr>
          <w:rFonts w:hint="eastAsia" w:ascii="Times New Roman" w:hAnsi="Times New Roman" w:eastAsia="楷体_GB2312" w:cs="Times New Roman"/>
          <w:sz w:val="28"/>
          <w:szCs w:val="28"/>
        </w:rPr>
        <w:t>10-14</w:t>
      </w:r>
      <w:r>
        <w:rPr>
          <w:rFonts w:ascii="Times New Roman" w:hAnsi="Times New Roman" w:eastAsia="楷体_GB2312" w:cs="Times New Roman"/>
          <w:sz w:val="28"/>
          <w:szCs w:val="28"/>
        </w:rPr>
        <w:t xml:space="preserve"> 家，其中氢能制备企业3</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4家，储运氢企业3</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4家，</w:t>
      </w:r>
      <w:r>
        <w:rPr>
          <w:rFonts w:hint="eastAsia" w:ascii="Times New Roman" w:hAnsi="Times New Roman" w:eastAsia="楷体_GB2312" w:cs="Times New Roman"/>
          <w:sz w:val="28"/>
          <w:szCs w:val="28"/>
        </w:rPr>
        <w:t>氢能核心装备制造企业3-4家，</w:t>
      </w:r>
      <w:r>
        <w:rPr>
          <w:rFonts w:ascii="Times New Roman" w:hAnsi="Times New Roman" w:eastAsia="楷体_GB2312" w:cs="Times New Roman"/>
          <w:sz w:val="28"/>
          <w:szCs w:val="28"/>
        </w:rPr>
        <w:t>氢能应用企业1</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2家，投资总规模超过100亿元。</w:t>
      </w:r>
    </w:p>
    <w:p w14:paraId="5E6F748F">
      <w:pPr>
        <w:spacing w:line="360" w:lineRule="auto"/>
        <w:ind w:firstLine="562" w:firstLineChars="200"/>
        <w:rPr>
          <w:rFonts w:ascii="Times New Roman" w:hAnsi="Times New Roman" w:eastAsia="楷体_GB2312" w:cs="Times New Roman"/>
          <w:b/>
          <w:sz w:val="28"/>
          <w:szCs w:val="28"/>
        </w:rPr>
      </w:pPr>
      <w:r>
        <w:rPr>
          <w:rFonts w:hint="eastAsia" w:ascii="Times New Roman" w:hAnsi="Times New Roman" w:eastAsia="楷体_GB2312" w:cs="Times New Roman"/>
          <w:b/>
          <w:sz w:val="28"/>
          <w:szCs w:val="28"/>
        </w:rPr>
        <w:t>创新能力——到2025年，</w:t>
      </w:r>
      <w:r>
        <w:rPr>
          <w:rFonts w:ascii="Times New Roman" w:hAnsi="Times New Roman" w:eastAsia="楷体_GB2312" w:cs="Times New Roman"/>
          <w:sz w:val="28"/>
          <w:szCs w:val="28"/>
        </w:rPr>
        <w:t>借助产业集群优势，依托氢能技术转化共享研发基地，形成一批具备氢能制备、储运核心技术专利与研发能力的团队，尤其在氢气的低碳制备、液氢储运环节形成自主知识产权的产品，并制定相关行业规范</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在燃料电池发动机、燃料电池电堆、燃料电池关键装备以及部分关键零部件等方面要实现一定程度的自主创新，以实现大同市的氢能全产业链自主创新企业布局。</w:t>
      </w:r>
    </w:p>
    <w:p w14:paraId="53CFB5E5">
      <w:pPr>
        <w:spacing w:line="360" w:lineRule="auto"/>
        <w:ind w:firstLine="562" w:firstLineChars="200"/>
        <w:rPr>
          <w:rFonts w:ascii="Times New Roman" w:hAnsi="Times New Roman" w:eastAsia="楷体_GB2312" w:cs="Times New Roman"/>
          <w:b/>
          <w:sz w:val="28"/>
          <w:szCs w:val="28"/>
        </w:rPr>
      </w:pPr>
      <w:r>
        <w:rPr>
          <w:rFonts w:hint="eastAsia" w:ascii="Times New Roman" w:hAnsi="Times New Roman" w:eastAsia="楷体_GB2312" w:cs="Times New Roman"/>
          <w:b/>
          <w:sz w:val="28"/>
          <w:szCs w:val="28"/>
        </w:rPr>
        <w:t>示范试点——到2025年，</w:t>
      </w:r>
      <w:r>
        <w:rPr>
          <w:rFonts w:ascii="Times New Roman" w:hAnsi="Times New Roman" w:eastAsia="楷体_GB2312" w:cs="Times New Roman"/>
          <w:sz w:val="28"/>
          <w:szCs w:val="28"/>
        </w:rPr>
        <w:t>氢燃料</w:t>
      </w:r>
      <w:r>
        <w:rPr>
          <w:rFonts w:hint="eastAsia" w:ascii="Times New Roman" w:hAnsi="Times New Roman" w:eastAsia="楷体_GB2312" w:cs="Times New Roman"/>
          <w:sz w:val="28"/>
          <w:szCs w:val="28"/>
        </w:rPr>
        <w:t>汽</w:t>
      </w:r>
      <w:r>
        <w:rPr>
          <w:rFonts w:ascii="Times New Roman" w:hAnsi="Times New Roman" w:eastAsia="楷体_GB2312" w:cs="Times New Roman"/>
          <w:sz w:val="28"/>
          <w:szCs w:val="28"/>
        </w:rPr>
        <w:t>车投放数量达到</w:t>
      </w:r>
      <w:r>
        <w:rPr>
          <w:rFonts w:hint="eastAsia" w:ascii="Times New Roman" w:hAnsi="Times New Roman" w:eastAsia="楷体_GB2312" w:cs="Times New Roman"/>
          <w:sz w:val="28"/>
          <w:szCs w:val="28"/>
        </w:rPr>
        <w:t>6300</w:t>
      </w:r>
      <w:r>
        <w:rPr>
          <w:rFonts w:ascii="Times New Roman" w:hAnsi="Times New Roman" w:eastAsia="楷体_GB2312" w:cs="Times New Roman"/>
          <w:sz w:val="28"/>
          <w:szCs w:val="28"/>
        </w:rPr>
        <w:t>辆，配套建设加氢能力不低500kg/天的示范性加氢站数量</w:t>
      </w:r>
      <w:r>
        <w:rPr>
          <w:rFonts w:hint="eastAsia" w:ascii="Times New Roman" w:hAnsi="Times New Roman" w:eastAsia="楷体_GB2312" w:cs="Times New Roman"/>
          <w:sz w:val="28"/>
          <w:szCs w:val="28"/>
        </w:rPr>
        <w:t>超过50</w:t>
      </w:r>
      <w:r>
        <w:rPr>
          <w:rFonts w:ascii="Times New Roman" w:hAnsi="Times New Roman" w:eastAsia="楷体_GB2312" w:cs="Times New Roman"/>
          <w:sz w:val="28"/>
          <w:szCs w:val="28"/>
        </w:rPr>
        <w:t>座，氢燃料公交路线实现主城区主要交通路线全覆盖，在物流车、环保清洁车等专用车领域推广氢燃料专用车示范。</w:t>
      </w:r>
    </w:p>
    <w:p w14:paraId="2D43445B">
      <w:pPr>
        <w:spacing w:line="360" w:lineRule="auto"/>
        <w:ind w:firstLine="560" w:firstLineChars="200"/>
        <w:rPr>
          <w:rFonts w:ascii="Times New Roman" w:hAnsi="Times New Roman" w:eastAsia="楷体_GB2312" w:cs="Times New Roman"/>
          <w:sz w:val="28"/>
          <w:szCs w:val="28"/>
        </w:rPr>
      </w:pPr>
      <w:r>
        <w:rPr>
          <w:rFonts w:ascii="Times New Roman" w:hAnsi="Times New Roman" w:eastAsia="楷体_GB2312" w:cs="Times New Roman"/>
          <w:sz w:val="28"/>
          <w:szCs w:val="28"/>
        </w:rPr>
        <w:t>结合大同市旅游景点，打造</w:t>
      </w:r>
      <w:r>
        <w:rPr>
          <w:rFonts w:hint="eastAsia" w:ascii="Times New Roman" w:hAnsi="Times New Roman" w:eastAsia="楷体_GB2312" w:cs="Times New Roman"/>
          <w:sz w:val="28"/>
          <w:szCs w:val="28"/>
        </w:rPr>
        <w:t>2</w:t>
      </w:r>
      <w:r>
        <w:rPr>
          <w:rFonts w:ascii="Times New Roman" w:hAnsi="Times New Roman" w:eastAsia="楷体_GB2312" w:cs="Times New Roman"/>
          <w:sz w:val="28"/>
          <w:szCs w:val="28"/>
        </w:rPr>
        <w:t>条氢能旅游专线，开展氢燃料旅游大巴示范项目、配套高速示范加氢站、氢燃料供能示范景区建设</w:t>
      </w:r>
      <w:r>
        <w:rPr>
          <w:rFonts w:hint="eastAsia" w:ascii="Times New Roman" w:hAnsi="Times New Roman" w:eastAsia="楷体_GB2312" w:cs="Times New Roman"/>
          <w:sz w:val="28"/>
          <w:szCs w:val="28"/>
        </w:rPr>
        <w:t>。</w:t>
      </w:r>
    </w:p>
    <w:p w14:paraId="5C3481F2">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产业布局——到2025年，</w:t>
      </w:r>
      <w:r>
        <w:rPr>
          <w:rFonts w:ascii="Times New Roman" w:hAnsi="Times New Roman" w:eastAsia="楷体_GB2312" w:cs="Times New Roman"/>
          <w:sz w:val="28"/>
          <w:szCs w:val="28"/>
        </w:rPr>
        <w:t>氢能产业聚集能力显著提高，产业集群形成规模，形成大中小企业紧密配合、专业分工与协作完善的产业体系</w:t>
      </w:r>
      <w:r>
        <w:rPr>
          <w:rFonts w:hint="eastAsia" w:ascii="Times New Roman" w:hAnsi="Times New Roman" w:eastAsia="楷体_GB2312" w:cs="Times New Roman"/>
          <w:sz w:val="28"/>
          <w:szCs w:val="28"/>
        </w:rPr>
        <w:t>。</w:t>
      </w:r>
    </w:p>
    <w:p w14:paraId="0E189C3A">
      <w:pPr>
        <w:pStyle w:val="18"/>
        <w:spacing w:line="360" w:lineRule="auto"/>
        <w:ind w:firstLine="0"/>
        <w:outlineLvl w:val="2"/>
        <w:rPr>
          <w:rFonts w:eastAsia="楷体_GB2312"/>
          <w:b/>
          <w:color w:val="1F497D"/>
          <w:spacing w:val="10"/>
          <w:kern w:val="28"/>
          <w:sz w:val="30"/>
          <w:szCs w:val="30"/>
        </w:rPr>
      </w:pPr>
      <w:r>
        <w:rPr>
          <w:rFonts w:eastAsia="楷体_GB2312"/>
          <w:b/>
          <w:color w:val="1F497D"/>
          <w:spacing w:val="10"/>
          <w:kern w:val="28"/>
          <w:sz w:val="30"/>
          <w:szCs w:val="30"/>
        </w:rPr>
        <w:t>3.5.3 长期发展目标与未来展望（2026年-2030年）</w:t>
      </w:r>
    </w:p>
    <w:p w14:paraId="23A730E0">
      <w:pPr>
        <w:spacing w:line="360" w:lineRule="auto"/>
        <w:ind w:firstLine="560" w:firstLineChars="200"/>
        <w:rPr>
          <w:rFonts w:ascii="Times New Roman" w:hAnsi="Times New Roman" w:eastAsia="楷体_GB2312" w:cs="Times New Roman"/>
          <w:sz w:val="28"/>
          <w:szCs w:val="28"/>
        </w:rPr>
      </w:pPr>
      <w:r>
        <w:rPr>
          <w:rFonts w:hint="eastAsia" w:ascii="Times New Roman" w:hAnsi="Times New Roman" w:eastAsia="楷体_GB2312" w:cs="Times New Roman"/>
          <w:sz w:val="28"/>
          <w:szCs w:val="28"/>
        </w:rPr>
        <w:t>远期发展目标：到2030年，大同市氢能产业在国内居于领先地位，氢能产业由示范带动转向市场拉动，氢能产业链产值规模突破1600亿元，氢能装备制造迈向高端，产业领军企业自主创新实力雄厚，氢气储运、氢燃料电池技术和制造达到国际先进水平；氢能交通体系和氢能物流运输体系基本完善，氢能社区建设取得较大进展。</w:t>
      </w:r>
    </w:p>
    <w:p w14:paraId="42A0BA4D">
      <w:pPr>
        <w:spacing w:line="360" w:lineRule="auto"/>
        <w:ind w:firstLine="562" w:firstLineChars="200"/>
        <w:rPr>
          <w:rFonts w:ascii="Times New Roman" w:hAnsi="Times New Roman" w:eastAsia="楷体_GB2312" w:cs="Times New Roman"/>
          <w:b/>
          <w:sz w:val="28"/>
          <w:szCs w:val="28"/>
        </w:rPr>
      </w:pPr>
      <w:r>
        <w:rPr>
          <w:rFonts w:hint="eastAsia" w:ascii="Times New Roman" w:hAnsi="Times New Roman" w:eastAsia="楷体_GB2312" w:cs="Times New Roman"/>
          <w:b/>
          <w:sz w:val="28"/>
          <w:szCs w:val="28"/>
        </w:rPr>
        <w:t>产业规模——到2030年，</w:t>
      </w:r>
      <w:r>
        <w:rPr>
          <w:rFonts w:ascii="Times New Roman" w:hAnsi="Times New Roman" w:eastAsia="楷体_GB2312" w:cs="Times New Roman"/>
          <w:sz w:val="28"/>
          <w:szCs w:val="28"/>
        </w:rPr>
        <w:t>制氢技术更为丰富，</w:t>
      </w:r>
      <w:r>
        <w:rPr>
          <w:rFonts w:hint="eastAsia" w:ascii="Times New Roman" w:hAnsi="Times New Roman" w:eastAsia="楷体_GB2312" w:cs="Times New Roman"/>
          <w:sz w:val="28"/>
          <w:szCs w:val="28"/>
        </w:rPr>
        <w:t>大规模煤制氢技术发展成熟，</w:t>
      </w:r>
      <w:r>
        <w:rPr>
          <w:rFonts w:ascii="Times New Roman" w:hAnsi="Times New Roman" w:eastAsia="楷体_GB2312" w:cs="Times New Roman"/>
          <w:sz w:val="28"/>
          <w:szCs w:val="28"/>
        </w:rPr>
        <w:t>大同市作为氢能源供应基地稳定向本省及京津冀地区</w:t>
      </w:r>
      <w:r>
        <w:rPr>
          <w:rFonts w:hint="eastAsia" w:ascii="Times New Roman" w:hAnsi="Times New Roman" w:eastAsia="楷体_GB2312" w:cs="Times New Roman"/>
          <w:sz w:val="28"/>
          <w:szCs w:val="28"/>
        </w:rPr>
        <w:t>乃至东南沿海</w:t>
      </w:r>
      <w:r>
        <w:rPr>
          <w:rFonts w:ascii="Times New Roman" w:hAnsi="Times New Roman" w:eastAsia="楷体_GB2312" w:cs="Times New Roman"/>
          <w:sz w:val="28"/>
          <w:szCs w:val="28"/>
        </w:rPr>
        <w:t>供应优质、低价氢能；氢能技术转化共享研发基地成为全国氢能技术产业孵化领跑者，多层次、全方位服务水平进一步提升，吸引更多新型氢能技术向大同市聚集；依托成熟的氢能源供应基地、先进的氢能技术转化共享研发基地，重点发展氢能装备制造基地，成为大同市“氢都”可持续发展的接力棒。</w:t>
      </w:r>
    </w:p>
    <w:p w14:paraId="5BD21F5F">
      <w:pPr>
        <w:spacing w:line="360" w:lineRule="auto"/>
        <w:ind w:firstLine="560" w:firstLineChars="200"/>
        <w:rPr>
          <w:rFonts w:ascii="Times New Roman" w:hAnsi="Times New Roman" w:eastAsia="楷体_GB2312" w:cs="Times New Roman"/>
          <w:sz w:val="28"/>
          <w:szCs w:val="28"/>
        </w:rPr>
      </w:pPr>
      <w:r>
        <w:rPr>
          <w:rFonts w:ascii="Times New Roman" w:hAnsi="Times New Roman" w:eastAsia="楷体_GB2312" w:cs="Times New Roman"/>
          <w:sz w:val="28"/>
          <w:szCs w:val="28"/>
        </w:rPr>
        <w:t>全市氢能产业链工业年产值达到</w:t>
      </w:r>
      <w:r>
        <w:rPr>
          <w:rFonts w:hint="eastAsia" w:ascii="Times New Roman" w:hAnsi="Times New Roman" w:eastAsia="楷体_GB2312" w:cs="Times New Roman"/>
          <w:sz w:val="28"/>
          <w:szCs w:val="28"/>
        </w:rPr>
        <w:t>16</w:t>
      </w:r>
      <w:r>
        <w:rPr>
          <w:rFonts w:ascii="Times New Roman" w:hAnsi="Times New Roman" w:eastAsia="楷体_GB2312" w:cs="Times New Roman"/>
          <w:sz w:val="28"/>
          <w:szCs w:val="28"/>
        </w:rPr>
        <w:t>00亿元。 其中：制氢产业约为</w:t>
      </w:r>
      <w:r>
        <w:rPr>
          <w:rFonts w:hint="eastAsia" w:ascii="Times New Roman" w:hAnsi="Times New Roman" w:eastAsia="楷体_GB2312" w:cs="Times New Roman"/>
          <w:sz w:val="28"/>
          <w:szCs w:val="28"/>
        </w:rPr>
        <w:t>4</w:t>
      </w:r>
      <w:r>
        <w:rPr>
          <w:rFonts w:ascii="Times New Roman" w:hAnsi="Times New Roman" w:eastAsia="楷体_GB2312" w:cs="Times New Roman"/>
          <w:sz w:val="28"/>
          <w:szCs w:val="28"/>
        </w:rPr>
        <w:t>00亿元，氢能储运装备产业约为</w:t>
      </w:r>
      <w:r>
        <w:rPr>
          <w:rFonts w:hint="eastAsia" w:ascii="Times New Roman" w:hAnsi="Times New Roman" w:eastAsia="楷体_GB2312" w:cs="Times New Roman"/>
          <w:sz w:val="28"/>
          <w:szCs w:val="28"/>
        </w:rPr>
        <w:t>5</w:t>
      </w:r>
      <w:r>
        <w:rPr>
          <w:rFonts w:ascii="Times New Roman" w:hAnsi="Times New Roman" w:eastAsia="楷体_GB2312" w:cs="Times New Roman"/>
          <w:sz w:val="28"/>
          <w:szCs w:val="28"/>
        </w:rPr>
        <w:t>00亿元，氢燃料电池及关键零部件产业约为</w:t>
      </w:r>
      <w:r>
        <w:rPr>
          <w:rFonts w:hint="eastAsia" w:ascii="Times New Roman" w:hAnsi="Times New Roman" w:eastAsia="楷体_GB2312" w:cs="Times New Roman"/>
          <w:sz w:val="28"/>
          <w:szCs w:val="28"/>
        </w:rPr>
        <w:t>3</w:t>
      </w:r>
      <w:r>
        <w:rPr>
          <w:rFonts w:ascii="Times New Roman" w:hAnsi="Times New Roman" w:eastAsia="楷体_GB2312" w:cs="Times New Roman"/>
          <w:sz w:val="28"/>
          <w:szCs w:val="28"/>
        </w:rPr>
        <w:t>00亿元，氢燃料电池汽车整车产业约为</w:t>
      </w:r>
      <w:r>
        <w:rPr>
          <w:rFonts w:hint="eastAsia" w:ascii="Times New Roman" w:hAnsi="Times New Roman" w:eastAsia="楷体_GB2312" w:cs="Times New Roman"/>
          <w:sz w:val="28"/>
          <w:szCs w:val="28"/>
        </w:rPr>
        <w:t>2</w:t>
      </w:r>
      <w:r>
        <w:rPr>
          <w:rFonts w:ascii="Times New Roman" w:hAnsi="Times New Roman" w:eastAsia="楷体_GB2312" w:cs="Times New Roman"/>
          <w:sz w:val="28"/>
          <w:szCs w:val="28"/>
        </w:rPr>
        <w:t>50亿元，其他氢能制造产业产值约</w:t>
      </w:r>
      <w:r>
        <w:rPr>
          <w:rFonts w:hint="eastAsia" w:ascii="Times New Roman" w:hAnsi="Times New Roman" w:eastAsia="楷体_GB2312" w:cs="Times New Roman"/>
          <w:sz w:val="28"/>
          <w:szCs w:val="28"/>
        </w:rPr>
        <w:t>1</w:t>
      </w:r>
      <w:r>
        <w:rPr>
          <w:rFonts w:ascii="Times New Roman" w:hAnsi="Times New Roman" w:eastAsia="楷体_GB2312" w:cs="Times New Roman"/>
          <w:sz w:val="28"/>
          <w:szCs w:val="28"/>
        </w:rPr>
        <w:t>50亿。</w:t>
      </w:r>
    </w:p>
    <w:p w14:paraId="448F09A0">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龙头企业——到2030年，</w:t>
      </w:r>
      <w:r>
        <w:rPr>
          <w:rFonts w:ascii="Times New Roman" w:hAnsi="Times New Roman" w:eastAsia="楷体_GB2312" w:cs="Times New Roman"/>
          <w:sz w:val="28"/>
          <w:szCs w:val="28"/>
        </w:rPr>
        <w:t>培育氢能相关企业超过150家，产业链核心企业</w:t>
      </w:r>
      <w:r>
        <w:rPr>
          <w:rFonts w:hint="eastAsia" w:ascii="Times New Roman" w:hAnsi="Times New Roman" w:eastAsia="楷体_GB2312" w:cs="Times New Roman"/>
          <w:sz w:val="28"/>
          <w:szCs w:val="28"/>
        </w:rPr>
        <w:t>30</w:t>
      </w:r>
      <w:r>
        <w:rPr>
          <w:rFonts w:ascii="Times New Roman" w:hAnsi="Times New Roman" w:eastAsia="楷体_GB2312" w:cs="Times New Roman"/>
          <w:sz w:val="28"/>
          <w:szCs w:val="28"/>
        </w:rPr>
        <w:t>家左右，其中氢能制备企业3</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5家，储运氢企业6</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8家，</w:t>
      </w:r>
      <w:r>
        <w:rPr>
          <w:rFonts w:hint="eastAsia" w:ascii="Times New Roman" w:hAnsi="Times New Roman" w:eastAsia="楷体_GB2312" w:cs="Times New Roman"/>
          <w:sz w:val="28"/>
          <w:szCs w:val="28"/>
        </w:rPr>
        <w:t>氢能核心装备制造企业5-6家，</w:t>
      </w:r>
      <w:r>
        <w:rPr>
          <w:rFonts w:ascii="Times New Roman" w:hAnsi="Times New Roman" w:eastAsia="楷体_GB2312" w:cs="Times New Roman"/>
          <w:sz w:val="28"/>
          <w:szCs w:val="28"/>
        </w:rPr>
        <w:t>氢能应用企业5</w:t>
      </w:r>
      <w:r>
        <w:rPr>
          <w:rFonts w:hint="eastAsia" w:ascii="Times New Roman" w:hAnsi="Times New Roman" w:eastAsia="楷体_GB2312" w:cs="Times New Roman"/>
          <w:sz w:val="28"/>
          <w:szCs w:val="28"/>
        </w:rPr>
        <w:t>-</w:t>
      </w:r>
      <w:r>
        <w:rPr>
          <w:rFonts w:ascii="Times New Roman" w:hAnsi="Times New Roman" w:eastAsia="楷体_GB2312" w:cs="Times New Roman"/>
          <w:sz w:val="28"/>
          <w:szCs w:val="28"/>
        </w:rPr>
        <w:t>7家。企业间形成良好的产业互动，投资总规模超过200亿元。氢能相关装备制造企业成为行业内又一主力。</w:t>
      </w:r>
    </w:p>
    <w:p w14:paraId="49C58FC3">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创新能力——到2030年，</w:t>
      </w:r>
      <w:r>
        <w:rPr>
          <w:rFonts w:ascii="Times New Roman" w:hAnsi="Times New Roman" w:eastAsia="楷体_GB2312" w:cs="Times New Roman"/>
          <w:sz w:val="28"/>
          <w:szCs w:val="28"/>
        </w:rPr>
        <w:t>依托氢能技术转化共享研发基地的先行优势，在煤制氢技术、储运技术成熟基础上加大可再生能源制氢、氢能应用、氢能装备环节的科研投入，形成一批具有国内领先的技术优势的企业。</w:t>
      </w:r>
    </w:p>
    <w:p w14:paraId="4CEC6F46">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示范试点——到2030年，</w:t>
      </w:r>
      <w:r>
        <w:rPr>
          <w:rFonts w:ascii="Times New Roman" w:hAnsi="Times New Roman" w:eastAsia="楷体_GB2312" w:cs="Times New Roman"/>
          <w:sz w:val="28"/>
          <w:szCs w:val="28"/>
        </w:rPr>
        <w:t>氢燃料</w:t>
      </w:r>
      <w:r>
        <w:rPr>
          <w:rFonts w:hint="eastAsia" w:ascii="Times New Roman" w:hAnsi="Times New Roman" w:eastAsia="楷体_GB2312" w:cs="Times New Roman"/>
          <w:sz w:val="28"/>
          <w:szCs w:val="28"/>
        </w:rPr>
        <w:t>汽车</w:t>
      </w:r>
      <w:r>
        <w:rPr>
          <w:rFonts w:ascii="Times New Roman" w:hAnsi="Times New Roman" w:eastAsia="楷体_GB2312" w:cs="Times New Roman"/>
          <w:sz w:val="28"/>
          <w:szCs w:val="28"/>
        </w:rPr>
        <w:t>投放量</w:t>
      </w:r>
      <w:r>
        <w:rPr>
          <w:rFonts w:hint="eastAsia" w:ascii="Times New Roman" w:hAnsi="Times New Roman" w:eastAsia="楷体_GB2312" w:cs="Times New Roman"/>
          <w:sz w:val="28"/>
          <w:szCs w:val="28"/>
        </w:rPr>
        <w:t>超过57000</w:t>
      </w:r>
      <w:r>
        <w:rPr>
          <w:rFonts w:ascii="Times New Roman" w:hAnsi="Times New Roman" w:eastAsia="楷体_GB2312" w:cs="Times New Roman"/>
          <w:sz w:val="28"/>
          <w:szCs w:val="28"/>
        </w:rPr>
        <w:t>辆，配套加氢站数量达到</w:t>
      </w:r>
      <w:r>
        <w:rPr>
          <w:rFonts w:hint="eastAsia" w:ascii="Times New Roman" w:hAnsi="Times New Roman" w:eastAsia="楷体_GB2312" w:cs="Times New Roman"/>
          <w:sz w:val="28"/>
          <w:szCs w:val="28"/>
        </w:rPr>
        <w:t>100</w:t>
      </w:r>
      <w:r>
        <w:rPr>
          <w:rFonts w:ascii="Times New Roman" w:hAnsi="Times New Roman" w:eastAsia="楷体_GB2312" w:cs="Times New Roman"/>
          <w:sz w:val="28"/>
          <w:szCs w:val="28"/>
        </w:rPr>
        <w:t>座，覆盖大同市主城区，配套投放一定比例的政府氢燃料乘用车示范，引导市民购买。</w:t>
      </w:r>
    </w:p>
    <w:p w14:paraId="2490A1FF">
      <w:pPr>
        <w:spacing w:line="360" w:lineRule="auto"/>
        <w:ind w:firstLine="562" w:firstLineChars="200"/>
        <w:rPr>
          <w:rFonts w:ascii="Times New Roman" w:hAnsi="Times New Roman" w:eastAsia="楷体_GB2312" w:cs="Times New Roman"/>
          <w:sz w:val="28"/>
          <w:szCs w:val="28"/>
        </w:rPr>
      </w:pPr>
      <w:r>
        <w:rPr>
          <w:rFonts w:hint="eastAsia" w:ascii="Times New Roman" w:hAnsi="Times New Roman" w:eastAsia="楷体_GB2312" w:cs="Times New Roman"/>
          <w:b/>
          <w:sz w:val="28"/>
          <w:szCs w:val="28"/>
        </w:rPr>
        <w:t>产业布局——到</w:t>
      </w:r>
      <w:r>
        <w:rPr>
          <w:rFonts w:ascii="Times New Roman" w:hAnsi="Times New Roman" w:eastAsia="楷体_GB2312" w:cs="Times New Roman"/>
          <w:b/>
          <w:sz w:val="28"/>
          <w:szCs w:val="28"/>
        </w:rPr>
        <w:t>20</w:t>
      </w:r>
      <w:r>
        <w:rPr>
          <w:rFonts w:hint="eastAsia" w:ascii="Times New Roman" w:hAnsi="Times New Roman" w:eastAsia="楷体_GB2312" w:cs="Times New Roman"/>
          <w:b/>
          <w:sz w:val="28"/>
          <w:szCs w:val="28"/>
        </w:rPr>
        <w:t>30年，</w:t>
      </w:r>
      <w:r>
        <w:rPr>
          <w:rFonts w:hint="eastAsia" w:ascii="Times New Roman" w:hAnsi="Times New Roman" w:eastAsia="楷体_GB2312" w:cs="Times New Roman"/>
          <w:sz w:val="28"/>
          <w:szCs w:val="28"/>
        </w:rPr>
        <w:t>大同市氢能产业格局全部构建完成，并形成覆盖京津冀、晋陕蒙、东南沿海的氢气贸易的销售网络和输送网络，将大同市打造成东方“氢都”。</w:t>
      </w:r>
    </w:p>
    <w:p w14:paraId="5EB13DA8">
      <w:pPr>
        <w:widowControl/>
        <w:jc w:val="left"/>
        <w:rPr>
          <w:rFonts w:ascii="Times New Roman" w:hAnsi="Times New Roman" w:eastAsia="楷体_GB2312" w:cs="Times New Roman"/>
          <w:sz w:val="28"/>
          <w:szCs w:val="28"/>
        </w:rPr>
      </w:pPr>
      <w:r>
        <w:rPr>
          <w:rFonts w:ascii="Times New Roman" w:hAnsi="Times New Roman" w:eastAsia="楷体_GB2312" w:cs="Times New Roman"/>
          <w:sz w:val="28"/>
          <w:szCs w:val="28"/>
        </w:rPr>
        <w:br w:type="page"/>
      </w:r>
    </w:p>
    <w:p w14:paraId="49D93E7D">
      <w:pPr>
        <w:pStyle w:val="2"/>
      </w:pPr>
      <w:bookmarkStart w:id="59" w:name="_Toc29892"/>
      <w:bookmarkStart w:id="60" w:name="_Toc52306971"/>
      <w:bookmarkStart w:id="61" w:name="_Toc52377962"/>
      <w:bookmarkStart w:id="62" w:name="_Toc10734"/>
      <w:bookmarkStart w:id="63" w:name="_Toc283460341"/>
      <w:bookmarkStart w:id="64" w:name="_Toc533150923"/>
      <w:bookmarkStart w:id="65" w:name="_Toc283459976"/>
      <w:bookmarkStart w:id="66" w:name="_Toc283460543"/>
      <w:bookmarkStart w:id="67" w:name="_Toc308882708"/>
      <w:bookmarkStart w:id="68" w:name="_Toc283712582"/>
      <w:r>
        <w:rPr>
          <w:rFonts w:hint="eastAsia"/>
        </w:rPr>
        <w:t>第四章 大同市氢能产业发展重点任务</w:t>
      </w:r>
      <w:bookmarkEnd w:id="59"/>
      <w:bookmarkEnd w:id="60"/>
      <w:bookmarkEnd w:id="61"/>
    </w:p>
    <w:p w14:paraId="1C20B6C7">
      <w:pPr>
        <w:pStyle w:val="4"/>
      </w:pPr>
      <w:bookmarkStart w:id="69" w:name="_Toc21192"/>
      <w:bookmarkStart w:id="70" w:name="_Toc52377963"/>
      <w:bookmarkStart w:id="71" w:name="_Toc52306972"/>
      <w:bookmarkStart w:id="72" w:name="_Toc308882699"/>
      <w:bookmarkStart w:id="73" w:name="_Toc283712578"/>
      <w:bookmarkStart w:id="74" w:name="_Toc283460539"/>
      <w:bookmarkStart w:id="75" w:name="_Toc533150911"/>
      <w:bookmarkStart w:id="76" w:name="_Toc303531050"/>
      <w:bookmarkStart w:id="77" w:name="_Toc283459972"/>
      <w:bookmarkStart w:id="78" w:name="_Toc283460337"/>
      <w:r>
        <w:rPr>
          <w:rFonts w:hint="eastAsia"/>
        </w:rPr>
        <w:t>4.1</w:t>
      </w:r>
      <w:r>
        <w:t xml:space="preserve"> </w:t>
      </w:r>
      <w:r>
        <w:rPr>
          <w:rFonts w:hint="eastAsia"/>
        </w:rPr>
        <w:t>制氢产业重点任务及关键技术</w:t>
      </w:r>
      <w:bookmarkEnd w:id="69"/>
      <w:bookmarkEnd w:id="70"/>
      <w:bookmarkEnd w:id="71"/>
    </w:p>
    <w:bookmarkEnd w:id="72"/>
    <w:bookmarkEnd w:id="73"/>
    <w:bookmarkEnd w:id="74"/>
    <w:bookmarkEnd w:id="75"/>
    <w:bookmarkEnd w:id="76"/>
    <w:bookmarkEnd w:id="77"/>
    <w:bookmarkEnd w:id="78"/>
    <w:p w14:paraId="25C2730B">
      <w:pPr>
        <w:spacing w:line="360" w:lineRule="auto"/>
        <w:ind w:firstLine="602" w:firstLineChars="200"/>
        <w:rPr>
          <w:rFonts w:ascii="Times New Roman" w:hAnsi="Times New Roman" w:eastAsia="楷体_GB2312" w:cs="Times New Roman"/>
          <w:sz w:val="28"/>
          <w:szCs w:val="30"/>
        </w:rPr>
      </w:pPr>
      <w:r>
        <w:rPr>
          <w:rFonts w:hint="eastAsia" w:ascii="Times New Roman" w:hAnsi="Times New Roman" w:eastAsia="楷体_GB2312" w:cs="Times New Roman"/>
          <w:b/>
          <w:spacing w:val="10"/>
          <w:kern w:val="28"/>
          <w:sz w:val="28"/>
          <w:szCs w:val="32"/>
        </w:rPr>
        <w:t>重点任务：</w:t>
      </w:r>
      <w:r>
        <w:rPr>
          <w:rFonts w:hint="eastAsia" w:ascii="Times New Roman" w:hAnsi="Times New Roman" w:eastAsia="楷体_GB2312" w:cs="Times New Roman"/>
          <w:spacing w:val="10"/>
          <w:kern w:val="28"/>
          <w:sz w:val="28"/>
          <w:szCs w:val="32"/>
        </w:rPr>
        <w:t>着重发展</w:t>
      </w:r>
      <w:r>
        <w:rPr>
          <w:rFonts w:hint="eastAsia" w:ascii="Times New Roman" w:hAnsi="Times New Roman" w:eastAsia="楷体_GB2312" w:cs="Times New Roman"/>
          <w:sz w:val="28"/>
          <w:szCs w:val="30"/>
        </w:rPr>
        <w:t>（光电、风电、调峰电）电解水制氢</w:t>
      </w:r>
      <w:r>
        <w:rPr>
          <w:rFonts w:hint="eastAsia" w:ascii="Times New Roman" w:hAnsi="Times New Roman" w:eastAsia="楷体_GB2312" w:cs="Times New Roman"/>
          <w:spacing w:val="10"/>
          <w:kern w:val="28"/>
          <w:sz w:val="28"/>
          <w:szCs w:val="32"/>
        </w:rPr>
        <w:t>和工业富氢尾气制氢产业，适当发展煤气化制氢和甲醇制氢产业。未来形成以</w:t>
      </w:r>
      <w:r>
        <w:rPr>
          <w:rFonts w:hint="eastAsia" w:ascii="Times New Roman" w:hAnsi="Times New Roman" w:eastAsia="楷体_GB2312" w:cs="Times New Roman"/>
          <w:sz w:val="28"/>
          <w:szCs w:val="30"/>
        </w:rPr>
        <w:t>（光电、风电、调峰电）电解水制氢为主，</w:t>
      </w:r>
      <w:r>
        <w:rPr>
          <w:rFonts w:hint="eastAsia" w:ascii="Times New Roman" w:hAnsi="Times New Roman" w:eastAsia="楷体_GB2312" w:cs="Times New Roman"/>
          <w:spacing w:val="10"/>
          <w:kern w:val="28"/>
          <w:sz w:val="28"/>
          <w:szCs w:val="32"/>
        </w:rPr>
        <w:t>煤气化制氢</w:t>
      </w:r>
      <w:r>
        <w:rPr>
          <w:rFonts w:hint="eastAsia" w:ascii="Times New Roman" w:hAnsi="Times New Roman" w:eastAsia="楷体_GB2312" w:cs="Times New Roman"/>
          <w:sz w:val="28"/>
          <w:szCs w:val="30"/>
        </w:rPr>
        <w:t>为辅，因地制宜开展</w:t>
      </w:r>
      <w:r>
        <w:rPr>
          <w:rFonts w:hint="eastAsia" w:ascii="Times New Roman" w:hAnsi="Times New Roman" w:eastAsia="楷体_GB2312" w:cs="Times New Roman"/>
          <w:spacing w:val="10"/>
          <w:kern w:val="28"/>
          <w:sz w:val="28"/>
          <w:szCs w:val="32"/>
        </w:rPr>
        <w:t>甲醇制氢和工业富氢尾气制氢的制氢产业</w:t>
      </w:r>
      <w:r>
        <w:rPr>
          <w:rFonts w:hint="eastAsia" w:ascii="Times New Roman" w:hAnsi="Times New Roman" w:eastAsia="楷体_GB2312" w:cs="Times New Roman"/>
          <w:sz w:val="28"/>
          <w:szCs w:val="30"/>
        </w:rPr>
        <w:t>布局。</w:t>
      </w:r>
    </w:p>
    <w:p w14:paraId="68266A71">
      <w:pPr>
        <w:spacing w:line="360" w:lineRule="auto"/>
        <w:ind w:firstLine="602" w:firstLineChars="200"/>
        <w:rPr>
          <w:rFonts w:ascii="Times New Roman" w:hAnsi="Times New Roman" w:eastAsia="楷体_GB2312" w:cs="Times New Roman"/>
          <w:b/>
          <w:spacing w:val="10"/>
          <w:kern w:val="28"/>
          <w:sz w:val="28"/>
          <w:szCs w:val="32"/>
          <w:highlight w:val="yellow"/>
        </w:rPr>
      </w:pPr>
      <w:r>
        <w:rPr>
          <w:rFonts w:hint="eastAsia" w:ascii="Times New Roman" w:hAnsi="Times New Roman" w:eastAsia="楷体_GB2312" w:cs="Times New Roman"/>
          <w:b/>
          <w:spacing w:val="10"/>
          <w:kern w:val="28"/>
          <w:sz w:val="28"/>
          <w:szCs w:val="32"/>
        </w:rPr>
        <w:t>关键技术一：煤气化制氢+CCUS利用技术开发</w:t>
      </w:r>
    </w:p>
    <w:p w14:paraId="7053C088">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通过优化气化炉构型和整体气化工艺，在提高气化过程效率的同时，有效解决排渣、固硫问题，保证气化炉的稳定运行，开发“三高”煤的高效气化技术以扩展原料煤种利用范围、降低煤气化制氢成本；开发碳捕集、利用与封存（</w:t>
      </w:r>
      <w:r>
        <w:rPr>
          <w:rFonts w:hint="eastAsia" w:ascii="Times New Roman" w:hAnsi="Times New Roman" w:eastAsia="楷体_GB2312" w:cs="Times New Roman"/>
          <w:b/>
          <w:spacing w:val="10"/>
          <w:kern w:val="28"/>
          <w:sz w:val="28"/>
          <w:szCs w:val="32"/>
        </w:rPr>
        <w:t>CCUS</w:t>
      </w:r>
      <w:r>
        <w:rPr>
          <w:rFonts w:hint="eastAsia" w:ascii="Times New Roman" w:hAnsi="Times New Roman" w:eastAsia="楷体_GB2312" w:cs="Times New Roman"/>
          <w:sz w:val="28"/>
          <w:szCs w:val="30"/>
        </w:rPr>
        <w:t>）技术，实现清洁高效利用煤炭资源的新途径，同时重视利用二氧化碳（CO</w:t>
      </w:r>
      <w:r>
        <w:rPr>
          <w:rFonts w:hint="eastAsia" w:ascii="Times New Roman" w:hAnsi="Times New Roman" w:eastAsia="楷体_GB2312" w:cs="Times New Roman"/>
          <w:sz w:val="28"/>
          <w:szCs w:val="30"/>
          <w:vertAlign w:val="subscript"/>
        </w:rPr>
        <w:t>2</w:t>
      </w:r>
      <w:r>
        <w:rPr>
          <w:rFonts w:hint="eastAsia" w:ascii="Times New Roman" w:hAnsi="Times New Roman" w:eastAsia="楷体_GB2312" w:cs="Times New Roman"/>
          <w:sz w:val="28"/>
          <w:szCs w:val="30"/>
        </w:rPr>
        <w:t>）开采石油、煤层气以及以CO</w:t>
      </w:r>
      <w:r>
        <w:rPr>
          <w:rFonts w:hint="eastAsia" w:ascii="Times New Roman" w:hAnsi="Times New Roman" w:eastAsia="楷体_GB2312" w:cs="Times New Roman"/>
          <w:sz w:val="28"/>
          <w:szCs w:val="30"/>
          <w:vertAlign w:val="subscript"/>
        </w:rPr>
        <w:t>2</w:t>
      </w:r>
      <w:r>
        <w:rPr>
          <w:rFonts w:hint="eastAsia" w:ascii="Times New Roman" w:hAnsi="Times New Roman" w:eastAsia="楷体_GB2312" w:cs="Times New Roman"/>
          <w:sz w:val="28"/>
          <w:szCs w:val="30"/>
        </w:rPr>
        <w:t>为原料合成能源化学品、共聚塑料、碳酸酯等技术。</w:t>
      </w:r>
    </w:p>
    <w:p w14:paraId="632B83BB">
      <w:pPr>
        <w:spacing w:line="360" w:lineRule="auto"/>
        <w:ind w:firstLine="602" w:firstLineChars="200"/>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关键技术二：分离技术及吸附剂、膜组件及关键设备、工艺开发</w:t>
      </w:r>
    </w:p>
    <w:p w14:paraId="2760FB07">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开发变压吸附（PSA）新型吸附剂，提高吸附能力、吸附容量和分离效率；开发新型、低成本膜分离材料；优化氢气分离关键设备及工艺，降低运行成本；结合膜分离技术/深冷分离技术和PSA技术各自的优缺点及应用范围，开发多种分离技术的联合工艺，并建设工业示范项目。</w:t>
      </w:r>
    </w:p>
    <w:p w14:paraId="55DC0AE7">
      <w:pPr>
        <w:spacing w:line="360" w:lineRule="auto"/>
        <w:ind w:firstLine="602" w:firstLineChars="200"/>
        <w:rPr>
          <w:rFonts w:ascii="Times New Roman" w:hAnsi="Times New Roman" w:eastAsia="楷体_GB2312" w:cs="Times New Roman"/>
          <w:b/>
          <w:sz w:val="28"/>
          <w:szCs w:val="30"/>
        </w:rPr>
      </w:pPr>
      <w:r>
        <w:rPr>
          <w:rFonts w:hint="eastAsia" w:ascii="Times New Roman" w:hAnsi="Times New Roman" w:eastAsia="楷体_GB2312" w:cs="Times New Roman"/>
          <w:b/>
          <w:spacing w:val="10"/>
          <w:kern w:val="28"/>
          <w:sz w:val="28"/>
          <w:szCs w:val="32"/>
        </w:rPr>
        <w:t>关键技术三：新型电解水制氢技术及催化剂、隔膜材料开发</w:t>
      </w:r>
    </w:p>
    <w:p w14:paraId="538427AB">
      <w:pPr>
        <w:spacing w:line="360" w:lineRule="auto"/>
        <w:ind w:firstLine="560" w:firstLineChars="200"/>
        <w:rPr>
          <w:rFonts w:ascii="Times New Roman" w:hAnsi="Times New Roman" w:eastAsia="楷体_GB2312" w:cs="Times New Roman"/>
          <w:sz w:val="28"/>
          <w:szCs w:val="30"/>
          <w:highlight w:val="yellow"/>
        </w:rPr>
      </w:pPr>
      <w:r>
        <w:rPr>
          <w:rFonts w:hint="eastAsia" w:ascii="Times New Roman" w:hAnsi="Times New Roman" w:eastAsia="楷体_GB2312" w:cs="Times New Roman"/>
          <w:sz w:val="28"/>
          <w:szCs w:val="30"/>
        </w:rPr>
        <w:t>通过技术合作与引入，突破可再生能源高效低成本电解水制氢技术，研究高压紧凑型碱性液体电解质电解水技术（AE），开发新型电极和隔膜材料；降低质子交换膜（PEM）贵金属催化剂负载量、开发非贵金属催化剂、高效膜材料及扩散层材料。开发高温固体氧化物电解水技术（SOEC）、着重研究电解质的薄膜化技术以及新型密封性材料、连接体材料的研发。</w:t>
      </w:r>
    </w:p>
    <w:p w14:paraId="350CC569">
      <w:pPr>
        <w:spacing w:line="360" w:lineRule="auto"/>
        <w:ind w:firstLine="602" w:firstLineChars="200"/>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关键技术四：甲醇制氢技术及关键设备开发</w:t>
      </w:r>
    </w:p>
    <w:p w14:paraId="5DFF1091">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联合国内研究院所和技术方，研发低温高效、价格低廉、热稳定性好的甲醇裂解催化剂；对甲醇裂解制氢技术关键设备及工艺进行改良开发，同时进一步开发通过借助超声波、等离子体等手段实现在常温常压下甲醇高效制氢技术及其关键设备。</w:t>
      </w:r>
    </w:p>
    <w:p w14:paraId="02FC7789">
      <w:pPr>
        <w:pStyle w:val="4"/>
      </w:pPr>
      <w:bookmarkStart w:id="79" w:name="_Toc5984"/>
      <w:bookmarkStart w:id="80" w:name="_Toc52306973"/>
      <w:bookmarkStart w:id="81" w:name="_Toc52377964"/>
      <w:r>
        <w:rPr>
          <w:rFonts w:hint="eastAsia"/>
        </w:rPr>
        <w:t>4.2 氢气储运产业重点任务及关键技术</w:t>
      </w:r>
      <w:bookmarkEnd w:id="79"/>
      <w:bookmarkEnd w:id="80"/>
      <w:bookmarkEnd w:id="81"/>
    </w:p>
    <w:p w14:paraId="44FF4248">
      <w:pPr>
        <w:pStyle w:val="5"/>
      </w:pPr>
      <w:r>
        <w:rPr>
          <w:rFonts w:hint="eastAsia"/>
        </w:rPr>
        <w:t>4.2.1 氢气储存产业重点任务及关键技术</w:t>
      </w:r>
    </w:p>
    <w:p w14:paraId="2964580B">
      <w:pPr>
        <w:spacing w:line="360" w:lineRule="auto"/>
        <w:ind w:firstLine="602" w:firstLineChars="200"/>
        <w:rPr>
          <w:rFonts w:ascii="Times New Roman" w:hAnsi="Times New Roman" w:eastAsia="楷体_GB2312" w:cs="Times New Roman"/>
          <w:b/>
          <w:sz w:val="28"/>
          <w:szCs w:val="30"/>
        </w:rPr>
      </w:pPr>
      <w:r>
        <w:rPr>
          <w:rFonts w:hint="eastAsia" w:ascii="Times New Roman" w:hAnsi="Times New Roman" w:eastAsia="楷体_GB2312" w:cs="Times New Roman"/>
          <w:b/>
          <w:spacing w:val="10"/>
          <w:kern w:val="28"/>
          <w:sz w:val="28"/>
          <w:szCs w:val="32"/>
        </w:rPr>
        <w:t>重点任务：</w:t>
      </w:r>
      <w:r>
        <w:rPr>
          <w:rFonts w:hint="eastAsia" w:ascii="Times New Roman" w:hAnsi="Times New Roman" w:eastAsia="楷体_GB2312" w:cs="Times New Roman"/>
          <w:bCs/>
          <w:spacing w:val="10"/>
          <w:kern w:val="28"/>
          <w:sz w:val="28"/>
          <w:szCs w:val="32"/>
        </w:rPr>
        <w:t>推进</w:t>
      </w:r>
      <w:r>
        <w:rPr>
          <w:rFonts w:hint="eastAsia" w:ascii="Times New Roman" w:hAnsi="Times New Roman" w:eastAsia="楷体_GB2312" w:cs="Times New Roman"/>
          <w:sz w:val="28"/>
          <w:szCs w:val="30"/>
        </w:rPr>
        <w:t>高压氢气存储材料与核心设备生产产业，着力发展液氢存储、运输和装备产业。技术领域，布局发展有机液体氢化合物储氢技术和产业，开发高活性、高稳定性的加氢/脱氢催化剂，布局氢气液化技术，开发高密度固体储运氢气材料，实现氢能的大规模存储。</w:t>
      </w:r>
    </w:p>
    <w:p w14:paraId="192BFB90">
      <w:pPr>
        <w:spacing w:line="360" w:lineRule="auto"/>
        <w:ind w:firstLine="602" w:firstLineChars="200"/>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关键技术一：35MPa和70MPa气态高压储氢技术开发</w:t>
      </w:r>
    </w:p>
    <w:p w14:paraId="2A30E9F9">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完善和推广70MPa III型储氢瓶的生产与应用；突破70MPa以上高压、轻质气体存储瓶材料及存储设备的研发，力争寻找储氢密度、储氢安全性和储氢成本之间的平衡关系；制定新型高压储氢瓶定期安全性检验的新方法、新标准；</w:t>
      </w:r>
      <w:r>
        <w:rPr>
          <w:rFonts w:ascii="Times New Roman" w:hAnsi="Times New Roman" w:eastAsia="楷体_GB2312" w:cs="Times New Roman"/>
          <w:sz w:val="28"/>
          <w:szCs w:val="30"/>
        </w:rPr>
        <w:t>重点</w:t>
      </w:r>
      <w:r>
        <w:rPr>
          <w:rFonts w:hint="eastAsia" w:ascii="Times New Roman" w:hAnsi="Times New Roman" w:eastAsia="楷体_GB2312" w:cs="Times New Roman"/>
          <w:sz w:val="28"/>
          <w:szCs w:val="30"/>
        </w:rPr>
        <w:t>开发</w:t>
      </w:r>
      <w:r>
        <w:rPr>
          <w:rFonts w:ascii="Times New Roman" w:hAnsi="Times New Roman" w:eastAsia="楷体_GB2312" w:cs="Times New Roman"/>
          <w:sz w:val="28"/>
          <w:szCs w:val="30"/>
        </w:rPr>
        <w:t>70</w:t>
      </w:r>
      <w:r>
        <w:rPr>
          <w:rFonts w:hint="eastAsia" w:ascii="Times New Roman" w:hAnsi="Times New Roman" w:eastAsia="楷体_GB2312" w:cs="Times New Roman"/>
          <w:sz w:val="28"/>
          <w:szCs w:val="30"/>
        </w:rPr>
        <w:t>MPa高密度</w:t>
      </w:r>
      <w:r>
        <w:rPr>
          <w:rFonts w:ascii="Times New Roman" w:hAnsi="Times New Roman" w:eastAsia="楷体_GB2312" w:cs="Times New Roman"/>
          <w:sz w:val="28"/>
          <w:szCs w:val="30"/>
        </w:rPr>
        <w:t>车载高压储氢系统</w:t>
      </w:r>
      <w:r>
        <w:rPr>
          <w:rFonts w:hint="eastAsia" w:ascii="Times New Roman" w:hAnsi="Times New Roman" w:eastAsia="楷体_GB2312" w:cs="Times New Roman"/>
          <w:sz w:val="28"/>
          <w:szCs w:val="30"/>
        </w:rPr>
        <w:t>，具体包括：高压氢气瓶内胆设计与制造技术、高强度碳纤维缠绕设计与工艺优化、高耐候性粘结剂改性技术、碳纤维缠绕氢气瓶优化设计与工艺、高压瓶口组合阀及瓶口密封结构设计与制造技术，降低进口依赖度，最终实现设备和工艺本地化生产。</w:t>
      </w:r>
    </w:p>
    <w:p w14:paraId="632B5F37">
      <w:pPr>
        <w:spacing w:line="360" w:lineRule="auto"/>
        <w:ind w:firstLine="566" w:firstLineChars="188"/>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关键技术二：有机氢化物储氢体系高活性、高稳定性、低成本脱氢催化剂的开发</w:t>
      </w:r>
    </w:p>
    <w:p w14:paraId="5E11CAE2">
      <w:pPr>
        <w:spacing w:line="360" w:lineRule="auto"/>
        <w:ind w:firstLine="560" w:firstLineChars="200"/>
        <w:rPr>
          <w:rFonts w:ascii="Times New Roman" w:hAnsi="Times New Roman" w:eastAsia="楷体_GB2312" w:cs="Times New Roman"/>
          <w:color w:val="FF0000"/>
          <w:sz w:val="28"/>
          <w:szCs w:val="30"/>
        </w:rPr>
      </w:pPr>
      <w:r>
        <w:rPr>
          <w:rFonts w:hint="eastAsia" w:ascii="Times New Roman" w:hAnsi="Times New Roman" w:eastAsia="楷体_GB2312" w:cs="Times New Roman"/>
          <w:sz w:val="28"/>
          <w:szCs w:val="30"/>
        </w:rPr>
        <w:t>联合国内研究院所开发高活性、高稳定脱氢催化剂，提高低温释氢速率、减少脱氢过程的能耗，有效降低脱氢成本，重点解决脱氢催化剂易在高温条件下发生孔结构破坏、结焦失活问题。开发低熔点、高沸点液体有机化合物储氢体系，拓宽有机液体氢化物储氢介质温度应用范围，降低加氢、脱氢装置成本。</w:t>
      </w:r>
    </w:p>
    <w:p w14:paraId="1E2B4170">
      <w:pPr>
        <w:spacing w:line="360" w:lineRule="auto"/>
        <w:ind w:firstLine="566" w:firstLineChars="188"/>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关键技术三：高密度固体储氢材料的开发</w:t>
      </w:r>
    </w:p>
    <w:p w14:paraId="0739A458">
      <w:pPr>
        <w:spacing w:line="360" w:lineRule="auto"/>
        <w:ind w:firstLine="560" w:firstLineChars="200"/>
        <w:rPr>
          <w:rFonts w:ascii="微软雅黑" w:hAnsi="微软雅黑" w:eastAsia="微软雅黑" w:cs="微软雅黑"/>
          <w:color w:val="333333"/>
          <w:sz w:val="27"/>
          <w:szCs w:val="27"/>
          <w:shd w:val="clear" w:color="auto" w:fill="FFFFFF"/>
        </w:rPr>
      </w:pPr>
      <w:r>
        <w:rPr>
          <w:rFonts w:hint="eastAsia" w:ascii="Times New Roman" w:hAnsi="Times New Roman" w:eastAsia="楷体_GB2312" w:cs="Times New Roman"/>
          <w:sz w:val="28"/>
          <w:szCs w:val="30"/>
        </w:rPr>
        <w:t>对高密度固体储氢材料储氢机理研究以及对现有储氢材料改性的同时，研发成本低、吸收/释放氢气快的新型固体储氢材料，重点发展稀土系、钛锰系、钒系储氢合金新材料的工业化制备，解决储氢材料价格高、循环性能差、易粉化、制备工艺复杂等问题，实现低压下（&lt;10MPa）氢气高密度存储，完善与之配套的固态储氢装置的设计与装备制造技术。研发纳米结构储氢材料，发展适用于常温下储氢成本低、储氢容量大、充放氢速率快的高密度固体储氢技术。</w:t>
      </w:r>
    </w:p>
    <w:p w14:paraId="07274E88">
      <w:pPr>
        <w:spacing w:line="360" w:lineRule="auto"/>
        <w:ind w:firstLine="602" w:firstLineChars="200"/>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关键技术四：液氢技术开发</w:t>
      </w:r>
    </w:p>
    <w:p w14:paraId="012DDEEA">
      <w:pPr>
        <w:widowControl/>
        <w:ind w:firstLine="560" w:firstLineChars="200"/>
        <w:jc w:val="left"/>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通过技术引入和合作开发，重点突破相关氢液化及配套设备技术，实现储运及加注设备的国产化、产业化，并适时进行示范推广；制定液氢相关的技术标准和政策规范；开发结构合理、漏热量少、高强度、能耐受和保持超低温性能的特殊材料应用于低温容器中，同时提高低温容器储罐的加工精度，解决氢液化及液氢运输过程能量损耗高的问题，降低液化和储氢成本。</w:t>
      </w:r>
    </w:p>
    <w:p w14:paraId="4C595095">
      <w:pPr>
        <w:pStyle w:val="5"/>
      </w:pPr>
      <w:r>
        <w:rPr>
          <w:rFonts w:hint="eastAsia"/>
        </w:rPr>
        <w:t>4.2.2 氢气运输产业重点任务及关键技术</w:t>
      </w:r>
    </w:p>
    <w:p w14:paraId="28D6F943">
      <w:pPr>
        <w:spacing w:line="360" w:lineRule="auto"/>
        <w:ind w:firstLine="602" w:firstLineChars="200"/>
        <w:rPr>
          <w:rFonts w:ascii="Times New Roman" w:hAnsi="Times New Roman" w:eastAsia="楷体_GB2312" w:cs="Times New Roman"/>
          <w:sz w:val="28"/>
          <w:szCs w:val="30"/>
        </w:rPr>
      </w:pPr>
      <w:r>
        <w:rPr>
          <w:rFonts w:hint="eastAsia" w:ascii="Times New Roman" w:hAnsi="Times New Roman" w:eastAsia="楷体_GB2312" w:cs="Times New Roman"/>
          <w:b/>
          <w:spacing w:val="10"/>
          <w:kern w:val="28"/>
          <w:sz w:val="28"/>
          <w:szCs w:val="32"/>
        </w:rPr>
        <w:t>重点任务：</w:t>
      </w:r>
      <w:r>
        <w:rPr>
          <w:rFonts w:hint="eastAsia" w:ascii="Times New Roman" w:hAnsi="Times New Roman" w:eastAsia="楷体_GB2312" w:cs="Times New Roman"/>
          <w:sz w:val="28"/>
          <w:szCs w:val="30"/>
        </w:rPr>
        <w:t>根据气源地和使用的距离以及氢气输送量，通过多种运输方式有机结合、灵活的调整运输方式，进一步降低氢气的储运成本。重点发展高压长管拖车输氢产业，着力发展槽罐车输氢和管道输氢，培育管道输送液氢、液态储氢产业。</w:t>
      </w:r>
    </w:p>
    <w:p w14:paraId="005C09A1">
      <w:pPr>
        <w:spacing w:line="360" w:lineRule="auto"/>
        <w:ind w:firstLine="566" w:firstLineChars="188"/>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关键技术一：混合管道输氢和氢气分离技术的开发</w:t>
      </w:r>
    </w:p>
    <w:p w14:paraId="0CAC875F">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研究天然气配送网络掺氢为家庭和企业供热可行性、天然气网络掺氢比例对天然气输配关键设备、材料、终端设备和电器以及对现有燃气轮机的控制系统和密封性能的影响。开展掺氢天然气与管道材料兼容性的研究，考察氢气含量对于管道材料、管道配件的影响；研发特种钢材及抗氢脆和渗透的输氢管道材料技术。开发混合输氢管道状态实时监测与安全预警技术，制定掺氢天然气输送系统的安全性等检测与管理规范。针对最终使用地需将氢分离的情况，通过采用PSA耦合膜分离技术，开发针对掺氢天然气定向纯化技术。</w:t>
      </w:r>
    </w:p>
    <w:p w14:paraId="2A5E798C">
      <w:pPr>
        <w:spacing w:line="360" w:lineRule="auto"/>
        <w:ind w:firstLine="566" w:firstLineChars="188"/>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关键技术二：液氢储罐制造技术和液氢管道输送技术</w:t>
      </w:r>
    </w:p>
    <w:p w14:paraId="06131F17">
      <w:pPr>
        <w:spacing w:line="360" w:lineRule="auto"/>
        <w:ind w:firstLine="526" w:firstLineChars="188"/>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依托大同市先进制造企业，制造容积为</w:t>
      </w:r>
      <w:r>
        <w:rPr>
          <w:rFonts w:ascii="Times New Roman" w:hAnsi="Times New Roman" w:eastAsia="楷体_GB2312" w:cs="Times New Roman"/>
          <w:sz w:val="28"/>
          <w:szCs w:val="30"/>
        </w:rPr>
        <w:t>25~200 m</w:t>
      </w:r>
      <w:r>
        <w:rPr>
          <w:rFonts w:ascii="Times New Roman" w:hAnsi="Times New Roman" w:eastAsia="楷体_GB2312" w:cs="Times New Roman"/>
          <w:sz w:val="28"/>
          <w:szCs w:val="30"/>
          <w:vertAlign w:val="superscript"/>
        </w:rPr>
        <w:t>3</w:t>
      </w:r>
      <w:r>
        <w:rPr>
          <w:rFonts w:hint="eastAsia" w:ascii="Times New Roman" w:hAnsi="Times New Roman" w:eastAsia="楷体_GB2312" w:cs="Times New Roman"/>
          <w:sz w:val="28"/>
          <w:szCs w:val="30"/>
        </w:rPr>
        <w:t>的储氢槽罐；优化制造工艺，采用堆积绝热、高真空绝热、真空粉末（或纤维）绝热、 高真空多层绝热、高真空多屏绝热等绝热材料提升储罐绝热性能，开发日蒸发损失量≤</w:t>
      </w:r>
      <w:r>
        <w:rPr>
          <w:rFonts w:ascii="Times New Roman" w:hAnsi="Times New Roman" w:eastAsia="楷体_GB2312" w:cs="Times New Roman"/>
          <w:sz w:val="28"/>
          <w:szCs w:val="30"/>
        </w:rPr>
        <w:t>1.5%</w:t>
      </w:r>
      <w:r>
        <w:rPr>
          <w:rFonts w:hint="eastAsia" w:ascii="Times New Roman" w:hAnsi="Times New Roman" w:eastAsia="楷体_GB2312" w:cs="Times New Roman"/>
          <w:sz w:val="28"/>
          <w:szCs w:val="30"/>
        </w:rPr>
        <w:t>的氢储罐。开展对于新型吸附剂设计和制备的研究，加深对于液氢运输管道内流固耦合振动以及压降变化等规律的认识，开展长距离、大规模氢的存储、运输技术和装备研发，实现创新成果向产业化的转化。</w:t>
      </w:r>
    </w:p>
    <w:p w14:paraId="1BEB6234">
      <w:pPr>
        <w:pStyle w:val="4"/>
      </w:pPr>
      <w:bookmarkStart w:id="82" w:name="_Toc18463"/>
      <w:bookmarkStart w:id="83" w:name="_Toc52306974"/>
      <w:bookmarkStart w:id="84" w:name="_Toc52377965"/>
      <w:r>
        <w:rPr>
          <w:rFonts w:hint="eastAsia"/>
        </w:rPr>
        <w:t>4.3 加氢站产业重点任务及关键技术</w:t>
      </w:r>
      <w:bookmarkEnd w:id="82"/>
      <w:bookmarkEnd w:id="83"/>
      <w:bookmarkEnd w:id="84"/>
    </w:p>
    <w:p w14:paraId="05C4877E">
      <w:pPr>
        <w:spacing w:line="360" w:lineRule="auto"/>
        <w:ind w:firstLine="566" w:firstLineChars="188"/>
        <w:rPr>
          <w:rFonts w:ascii="Times New Roman" w:hAnsi="Times New Roman" w:eastAsia="楷体_GB2312" w:cs="Times New Roman"/>
          <w:sz w:val="28"/>
          <w:szCs w:val="30"/>
        </w:rPr>
      </w:pPr>
      <w:r>
        <w:rPr>
          <w:rFonts w:hint="eastAsia" w:ascii="Times New Roman" w:hAnsi="Times New Roman" w:eastAsia="楷体_GB2312" w:cs="Times New Roman"/>
          <w:b/>
          <w:spacing w:val="10"/>
          <w:kern w:val="28"/>
          <w:sz w:val="28"/>
          <w:szCs w:val="32"/>
        </w:rPr>
        <w:t>重点任务：</w:t>
      </w:r>
      <w:r>
        <w:rPr>
          <w:rFonts w:hint="eastAsia" w:ascii="Times New Roman" w:hAnsi="Times New Roman" w:eastAsia="楷体_GB2312" w:cs="Times New Roman"/>
          <w:sz w:val="28"/>
          <w:szCs w:val="30"/>
        </w:rPr>
        <w:t>按照由点及面、由专用向公用、由城市向城际发展的思路，合理配套、推进加氢站产业发展和加氢网络建设。近期重点发展大容量高压氢气储氢罐、压缩机、加注机以及核心零部件等产业，开发加氢站集成工艺，布局液氢加氢站相关技术。</w:t>
      </w:r>
    </w:p>
    <w:p w14:paraId="35DA1107">
      <w:pPr>
        <w:spacing w:line="360" w:lineRule="auto"/>
        <w:ind w:firstLine="566" w:firstLineChars="188"/>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关键技术一：加氢站核心设备、材料的国产化</w:t>
      </w:r>
    </w:p>
    <w:p w14:paraId="6ECEAE5D">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通过自主开发及技术引进，解决固定储氢设施、压缩机、加氢机、涉氢管道、仪表系统等核心设备、材料的技术问题，最大程度的实现加氢站关键设备的国产化，降低加氢站投资。通过完善“三大件”（即固定储氢设施、压缩机、加氢机）的性能参数，提升加氢站的整体加注和储氢能力。重点开展加氢站关键零部件失效模拟分析、密封件及密封材料在高压氢环境中损伤检测技术及测试装备、供氢系统关键零部件高压高速氢气冲击/自然损伤检测技术及测试设备等研究。</w:t>
      </w:r>
    </w:p>
    <w:p w14:paraId="5EFBF1E8">
      <w:pPr>
        <w:spacing w:line="360" w:lineRule="auto"/>
        <w:ind w:firstLine="566" w:firstLineChars="188"/>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关键技术二：加氢站集成工艺技术开发</w:t>
      </w:r>
    </w:p>
    <w:p w14:paraId="6F94229F">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借鉴国内外先进的技术，培育加氢站集成技术服务商，重点解决液氢储罐、液氢泵、车载低温液态储氢系统等技术瓶颈，开发适合中国国情的加氢站自动控制系统，形成具有自主知识产权的加氢站集成工艺技术，并进行示范应用。具体开展研究高安全低压高密度固态储氢装置设计与制造技术、静态压缩装置设计和制备技术、90MPa氢压缩机整体设计及核心部件开发、储供氢装置热管理系统设计技术、预冷加注一体化加氢及核心部件设计和工艺研究、储供氢装置站用安全监控技术。</w:t>
      </w:r>
    </w:p>
    <w:p w14:paraId="09F239A3">
      <w:pPr>
        <w:spacing w:line="360" w:lineRule="auto"/>
        <w:ind w:firstLine="566" w:firstLineChars="188"/>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关键技术三：液氢加氢站相关技术开发</w:t>
      </w:r>
    </w:p>
    <w:p w14:paraId="27A744ED">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通过技术引入和合作开发，进行液氢加氢站关键技术和核心设备开发，并进行示范应用与推广。开发新型</w:t>
      </w:r>
      <w:r>
        <w:rPr>
          <w:rFonts w:ascii="Times New Roman" w:hAnsi="Times New Roman" w:eastAsia="楷体_GB2312" w:cs="Times New Roman"/>
          <w:sz w:val="28"/>
          <w:szCs w:val="30"/>
        </w:rPr>
        <w:t>高流量快速加注技术</w:t>
      </w:r>
      <w:r>
        <w:rPr>
          <w:rFonts w:hint="eastAsia" w:ascii="Times New Roman" w:hAnsi="Times New Roman" w:eastAsia="楷体_GB2312" w:cs="Times New Roman"/>
          <w:sz w:val="28"/>
          <w:szCs w:val="30"/>
        </w:rPr>
        <w:t>，在</w:t>
      </w:r>
      <w:r>
        <w:rPr>
          <w:rFonts w:ascii="Times New Roman" w:hAnsi="Times New Roman" w:eastAsia="楷体_GB2312" w:cs="Times New Roman"/>
          <w:sz w:val="28"/>
          <w:szCs w:val="30"/>
        </w:rPr>
        <w:t>加氢枪、拉断阀、流量计和高压阀门管件等关键零部件</w:t>
      </w:r>
      <w:r>
        <w:rPr>
          <w:rFonts w:hint="eastAsia" w:ascii="Times New Roman" w:hAnsi="Times New Roman" w:eastAsia="楷体_GB2312" w:cs="Times New Roman"/>
          <w:sz w:val="28"/>
          <w:szCs w:val="30"/>
        </w:rPr>
        <w:t>方面</w:t>
      </w:r>
      <w:r>
        <w:rPr>
          <w:rFonts w:ascii="Times New Roman" w:hAnsi="Times New Roman" w:eastAsia="楷体_GB2312" w:cs="Times New Roman"/>
          <w:sz w:val="28"/>
          <w:szCs w:val="30"/>
        </w:rPr>
        <w:t>加大研发力度</w:t>
      </w:r>
      <w:r>
        <w:rPr>
          <w:rFonts w:hint="eastAsia" w:ascii="Times New Roman" w:hAnsi="Times New Roman" w:eastAsia="楷体_GB2312" w:cs="Times New Roman"/>
          <w:sz w:val="28"/>
          <w:szCs w:val="30"/>
        </w:rPr>
        <w:t>；建立健全液氢加氢站相关设备的质量、安全检测及第三方认证、运营监管体系；</w:t>
      </w:r>
      <w:r>
        <w:rPr>
          <w:rFonts w:ascii="Times New Roman" w:hAnsi="Times New Roman" w:eastAsia="楷体_GB2312" w:cs="Times New Roman"/>
          <w:sz w:val="28"/>
          <w:szCs w:val="30"/>
        </w:rPr>
        <w:t>设立</w:t>
      </w:r>
      <w:r>
        <w:rPr>
          <w:rFonts w:hint="eastAsia" w:ascii="Times New Roman" w:hAnsi="Times New Roman" w:eastAsia="楷体_GB2312" w:cs="Times New Roman"/>
          <w:sz w:val="28"/>
          <w:szCs w:val="30"/>
        </w:rPr>
        <w:t>液氢能源</w:t>
      </w:r>
      <w:r>
        <w:rPr>
          <w:rFonts w:ascii="Times New Roman" w:hAnsi="Times New Roman" w:eastAsia="楷体_GB2312" w:cs="Times New Roman"/>
          <w:sz w:val="28"/>
          <w:szCs w:val="30"/>
        </w:rPr>
        <w:t>大数据平台，实现对运氢</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加氢状态的安全监管</w:t>
      </w:r>
      <w:r>
        <w:rPr>
          <w:rFonts w:hint="eastAsia" w:ascii="Times New Roman" w:hAnsi="Times New Roman" w:eastAsia="楷体_GB2312" w:cs="Times New Roman"/>
          <w:sz w:val="28"/>
          <w:szCs w:val="30"/>
        </w:rPr>
        <w:t>；通过实验、数据模拟与理论分析的技术手段，完善适用于液氢加氢站的消防设施及系统的设计方案</w:t>
      </w:r>
      <w:r>
        <w:rPr>
          <w:rFonts w:ascii="Times New Roman" w:hAnsi="Times New Roman" w:eastAsia="楷体_GB2312" w:cs="Times New Roman"/>
          <w:sz w:val="28"/>
          <w:szCs w:val="30"/>
        </w:rPr>
        <w:t>。</w:t>
      </w:r>
    </w:p>
    <w:p w14:paraId="63B8805D">
      <w:pPr>
        <w:pStyle w:val="4"/>
      </w:pPr>
      <w:bookmarkStart w:id="85" w:name="_Toc11012"/>
      <w:bookmarkStart w:id="86" w:name="_Toc52306975"/>
      <w:bookmarkStart w:id="87" w:name="_Toc52377966"/>
      <w:r>
        <w:rPr>
          <w:rFonts w:hint="eastAsia"/>
        </w:rPr>
        <w:t>4.4 氢燃料电池产业重点任务及关键技术</w:t>
      </w:r>
      <w:bookmarkEnd w:id="85"/>
      <w:bookmarkEnd w:id="86"/>
      <w:bookmarkEnd w:id="87"/>
    </w:p>
    <w:p w14:paraId="2C90342A">
      <w:pPr>
        <w:spacing w:line="360" w:lineRule="auto"/>
        <w:ind w:firstLine="602" w:firstLineChars="200"/>
        <w:rPr>
          <w:rFonts w:ascii="Times New Roman" w:hAnsi="Times New Roman" w:eastAsia="楷体_GB2312" w:cs="Times New Roman"/>
          <w:spacing w:val="10"/>
          <w:kern w:val="28"/>
          <w:sz w:val="28"/>
          <w:szCs w:val="32"/>
        </w:rPr>
      </w:pPr>
      <w:r>
        <w:rPr>
          <w:rFonts w:hint="eastAsia" w:ascii="Times New Roman" w:hAnsi="Times New Roman" w:eastAsia="楷体_GB2312" w:cs="Times New Roman"/>
          <w:b/>
          <w:spacing w:val="10"/>
          <w:kern w:val="28"/>
          <w:sz w:val="28"/>
          <w:szCs w:val="32"/>
        </w:rPr>
        <w:t>重点任务：</w:t>
      </w:r>
      <w:r>
        <w:rPr>
          <w:rFonts w:hint="eastAsia" w:ascii="Times New Roman" w:hAnsi="Times New Roman" w:eastAsia="楷体_GB2312" w:cs="Times New Roman"/>
          <w:sz w:val="28"/>
          <w:szCs w:val="30"/>
        </w:rPr>
        <w:t>在氢燃料电池的核心零部件如电堆、膜电极、双极板、质子交换膜、催化剂、碳纸等方面进行技术突破和产业化，同时在空气压缩机及氢气循环系统等配套系统领域进行产业化，构建完整的氢能产业核心装备产业链。</w:t>
      </w:r>
      <w:r>
        <w:rPr>
          <w:rFonts w:ascii="Times New Roman" w:hAnsi="Times New Roman" w:eastAsia="楷体_GB2312" w:cs="Times New Roman"/>
          <w:sz w:val="28"/>
          <w:szCs w:val="30"/>
        </w:rPr>
        <w:t>着力</w:t>
      </w:r>
      <w:r>
        <w:rPr>
          <w:rFonts w:hint="eastAsia" w:ascii="Times New Roman" w:hAnsi="Times New Roman" w:eastAsia="楷体_GB2312" w:cs="Times New Roman"/>
          <w:sz w:val="28"/>
          <w:szCs w:val="30"/>
        </w:rPr>
        <w:t>开发氢燃料电池关键组件、材料，</w:t>
      </w:r>
      <w:r>
        <w:rPr>
          <w:rFonts w:ascii="Times New Roman" w:hAnsi="Times New Roman" w:eastAsia="楷体_GB2312" w:cs="Times New Roman"/>
          <w:sz w:val="28"/>
          <w:szCs w:val="30"/>
        </w:rPr>
        <w:t>重点研发</w:t>
      </w:r>
      <w:r>
        <w:rPr>
          <w:rFonts w:hint="eastAsia" w:ascii="Times New Roman" w:hAnsi="Times New Roman" w:eastAsia="楷体_GB2312" w:cs="Times New Roman"/>
          <w:sz w:val="28"/>
          <w:szCs w:val="30"/>
        </w:rPr>
        <w:t>新型氢燃料电池催化剂、</w:t>
      </w:r>
      <w:r>
        <w:rPr>
          <w:rFonts w:ascii="Times New Roman" w:hAnsi="Times New Roman" w:eastAsia="楷体_GB2312" w:cs="Times New Roman"/>
          <w:sz w:val="28"/>
          <w:szCs w:val="30"/>
        </w:rPr>
        <w:t>金属双极板材料技术、车用膜电极及批量制备技术、质子交换膜燃料电池发动机技术</w:t>
      </w:r>
      <w:r>
        <w:rPr>
          <w:rFonts w:hint="eastAsia" w:ascii="Times New Roman" w:hAnsi="Times New Roman" w:eastAsia="楷体_GB2312" w:cs="Times New Roman"/>
          <w:sz w:val="28"/>
          <w:szCs w:val="30"/>
        </w:rPr>
        <w:t>等配套系统技术，</w:t>
      </w:r>
      <w:r>
        <w:rPr>
          <w:rFonts w:ascii="Times New Roman" w:hAnsi="Times New Roman" w:eastAsia="楷体_GB2312" w:cs="Times New Roman"/>
          <w:sz w:val="28"/>
          <w:szCs w:val="30"/>
        </w:rPr>
        <w:t>提升氢燃料电池生产自动化、集成化水平</w:t>
      </w:r>
      <w:r>
        <w:rPr>
          <w:rFonts w:hint="eastAsia" w:ascii="Times New Roman" w:hAnsi="Times New Roman" w:eastAsia="楷体_GB2312" w:cs="Times New Roman"/>
          <w:sz w:val="28"/>
          <w:szCs w:val="30"/>
        </w:rPr>
        <w:t>；同时建立统一标准的氢燃料电池检验、测试平台。</w:t>
      </w:r>
    </w:p>
    <w:p w14:paraId="5050122B">
      <w:pPr>
        <w:spacing w:line="360" w:lineRule="auto"/>
        <w:ind w:firstLine="566" w:firstLineChars="188"/>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关键技术一：双极板及膜电极技术开发</w:t>
      </w:r>
    </w:p>
    <w:p w14:paraId="72F9D02E">
      <w:pPr>
        <w:spacing w:line="360" w:lineRule="auto"/>
        <w:ind w:firstLine="560" w:firstLineChars="200"/>
        <w:rPr>
          <w:rFonts w:ascii="Times New Roman" w:hAnsi="Times New Roman" w:eastAsia="楷体_GB2312" w:cs="Times New Roman"/>
          <w:color w:val="0000FF"/>
          <w:sz w:val="28"/>
          <w:szCs w:val="30"/>
        </w:rPr>
      </w:pPr>
      <w:r>
        <w:rPr>
          <w:rFonts w:hint="eastAsia" w:ascii="Times New Roman" w:hAnsi="Times New Roman" w:eastAsia="楷体_GB2312" w:cs="Times New Roman"/>
          <w:sz w:val="28"/>
          <w:szCs w:val="30"/>
        </w:rPr>
        <w:t>自主创新与引进吸收相结合，开发具有优良机械性能、阻气性能、耐腐蚀性能的双极板加工产业，以期达到</w:t>
      </w:r>
      <w:r>
        <w:rPr>
          <w:rFonts w:ascii="Times New Roman" w:hAnsi="Times New Roman" w:eastAsia="楷体_GB2312" w:cs="Times New Roman"/>
          <w:sz w:val="28"/>
          <w:szCs w:val="30"/>
        </w:rPr>
        <w:t>批量</w:t>
      </w:r>
      <w:r>
        <w:rPr>
          <w:rFonts w:hint="eastAsia" w:ascii="Times New Roman" w:hAnsi="Times New Roman" w:eastAsia="楷体_GB2312" w:cs="Times New Roman"/>
          <w:sz w:val="28"/>
          <w:szCs w:val="30"/>
        </w:rPr>
        <w:t>化</w:t>
      </w:r>
      <w:r>
        <w:rPr>
          <w:rFonts w:ascii="Times New Roman" w:hAnsi="Times New Roman" w:eastAsia="楷体_GB2312" w:cs="Times New Roman"/>
          <w:sz w:val="28"/>
          <w:szCs w:val="30"/>
        </w:rPr>
        <w:t>生产</w:t>
      </w:r>
      <w:r>
        <w:rPr>
          <w:rFonts w:hint="eastAsia" w:ascii="Times New Roman" w:hAnsi="Times New Roman" w:eastAsia="楷体_GB2312" w:cs="Times New Roman"/>
          <w:sz w:val="28"/>
          <w:szCs w:val="30"/>
        </w:rPr>
        <w:t>；开展膜电极的连续制备工艺技术，增强膜电极的质子传导效率、气体隔离效率，提升生产企业的规模化质子膜加工能力，</w:t>
      </w:r>
      <w:r>
        <w:rPr>
          <w:rFonts w:ascii="Times New Roman" w:hAnsi="Times New Roman" w:eastAsia="楷体_GB2312" w:cs="Times New Roman"/>
          <w:sz w:val="28"/>
          <w:szCs w:val="30"/>
        </w:rPr>
        <w:t>降低</w:t>
      </w:r>
      <w:r>
        <w:rPr>
          <w:rFonts w:hint="eastAsia" w:ascii="Times New Roman" w:hAnsi="Times New Roman" w:eastAsia="楷体_GB2312" w:cs="Times New Roman"/>
          <w:sz w:val="28"/>
          <w:szCs w:val="30"/>
        </w:rPr>
        <w:t>成本、提高使用寿命。</w:t>
      </w:r>
    </w:p>
    <w:p w14:paraId="322E2362">
      <w:pPr>
        <w:spacing w:line="360" w:lineRule="auto"/>
        <w:ind w:firstLine="566" w:firstLineChars="188"/>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关键技术二：碳布及氢燃料电池催化剂技术开发</w:t>
      </w:r>
    </w:p>
    <w:p w14:paraId="3A710BFC">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研发</w:t>
      </w:r>
      <w:r>
        <w:rPr>
          <w:rFonts w:ascii="Times New Roman" w:hAnsi="Times New Roman" w:eastAsia="楷体_GB2312" w:cs="Times New Roman"/>
          <w:sz w:val="28"/>
          <w:szCs w:val="30"/>
        </w:rPr>
        <w:t>合适孔结构、</w:t>
      </w:r>
      <w:r>
        <w:rPr>
          <w:rFonts w:hint="eastAsia" w:ascii="Times New Roman" w:hAnsi="Times New Roman" w:eastAsia="楷体_GB2312" w:cs="Times New Roman"/>
          <w:sz w:val="28"/>
          <w:szCs w:val="30"/>
        </w:rPr>
        <w:t>表面平滑、高</w:t>
      </w:r>
      <w:r>
        <w:rPr>
          <w:rFonts w:ascii="Times New Roman" w:hAnsi="Times New Roman" w:eastAsia="楷体_GB2312" w:cs="Times New Roman"/>
          <w:sz w:val="28"/>
          <w:szCs w:val="30"/>
        </w:rPr>
        <w:t>导电性、</w:t>
      </w:r>
      <w:r>
        <w:rPr>
          <w:rFonts w:hint="eastAsia" w:ascii="Times New Roman" w:hAnsi="Times New Roman" w:eastAsia="楷体_GB2312" w:cs="Times New Roman"/>
          <w:sz w:val="28"/>
          <w:szCs w:val="30"/>
        </w:rPr>
        <w:t>高气体通过率、高强度、</w:t>
      </w:r>
      <w:r>
        <w:rPr>
          <w:rFonts w:ascii="Times New Roman" w:hAnsi="Times New Roman" w:eastAsia="楷体_GB2312" w:cs="Times New Roman"/>
          <w:sz w:val="28"/>
          <w:szCs w:val="30"/>
        </w:rPr>
        <w:t>高稳定性</w:t>
      </w:r>
      <w:r>
        <w:rPr>
          <w:rFonts w:hint="eastAsia" w:ascii="Times New Roman" w:hAnsi="Times New Roman" w:eastAsia="楷体_GB2312" w:cs="Times New Roman"/>
          <w:sz w:val="28"/>
          <w:szCs w:val="30"/>
        </w:rPr>
        <w:t>、可供模压成型的多孔碳纤维布，优化加工方式与工艺，提升企业优质碳布的加工和规模化生产能力；研发新型高稳定、高活性的低</w:t>
      </w:r>
      <w:r>
        <w:rPr>
          <w:rFonts w:ascii="Times New Roman" w:hAnsi="Times New Roman" w:eastAsia="楷体_GB2312" w:cs="Times New Roman"/>
          <w:sz w:val="28"/>
          <w:szCs w:val="30"/>
        </w:rPr>
        <w:t>铂</w:t>
      </w:r>
      <w:r>
        <w:rPr>
          <w:rFonts w:hint="eastAsia" w:ascii="Times New Roman" w:hAnsi="Times New Roman" w:eastAsia="楷体_GB2312" w:cs="Times New Roman"/>
          <w:sz w:val="28"/>
          <w:szCs w:val="30"/>
        </w:rPr>
        <w:t>、非</w:t>
      </w:r>
      <w:r>
        <w:rPr>
          <w:rFonts w:ascii="Times New Roman" w:hAnsi="Times New Roman" w:eastAsia="楷体_GB2312" w:cs="Times New Roman"/>
          <w:sz w:val="28"/>
          <w:szCs w:val="30"/>
        </w:rPr>
        <w:t>铂催化剂</w:t>
      </w:r>
      <w:r>
        <w:rPr>
          <w:rFonts w:hint="eastAsia" w:ascii="Times New Roman" w:hAnsi="Times New Roman" w:eastAsia="楷体_GB2312" w:cs="Times New Roman"/>
          <w:sz w:val="28"/>
          <w:szCs w:val="30"/>
        </w:rPr>
        <w:t>及催化剂浆料制备技术，提升燃料电池催化剂反应效率和使用寿命、降低催化剂成本，发展车用燃料电池高效催化剂加工产业。</w:t>
      </w:r>
    </w:p>
    <w:p w14:paraId="35779496">
      <w:pPr>
        <w:spacing w:line="360" w:lineRule="auto"/>
        <w:ind w:firstLine="602" w:firstLineChars="200"/>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关键技术三：氢燃料电池配套技术开发</w:t>
      </w:r>
    </w:p>
    <w:p w14:paraId="7145DAA2">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定向开发空气循环系统、氢气循环系统、热管理系统、电控系统、氢气循环装置、空压机、加湿器等关键与辅助部件的氢燃料电池配套技术，进一步提高氢燃料电池的系统性能与耐久性，实现氢燃料电池关键材料、零部件国产化和批量供应。重点开发电机转速高、能耗低的空气压缩机；开发氢气利用率高的氢气回流泵；优化电控系统集成与控制等关键技术，提高氢燃料电池在各种不同工况下的可靠性和耐久性。构建面向全行业的研发、试验、认证、检测公共服务体系，为全市氢燃料电池产业发展提供测评和技术支撑。</w:t>
      </w:r>
    </w:p>
    <w:p w14:paraId="4A589BF6">
      <w:pPr>
        <w:pStyle w:val="4"/>
      </w:pPr>
      <w:bookmarkStart w:id="88" w:name="_Toc4315"/>
      <w:bookmarkStart w:id="89" w:name="_Toc52306976"/>
      <w:bookmarkStart w:id="90" w:name="_Toc52377967"/>
      <w:r>
        <w:rPr>
          <w:rFonts w:hint="eastAsia"/>
        </w:rPr>
        <w:t>4.5 氢能应用产业重点任务及关键技术</w:t>
      </w:r>
      <w:bookmarkEnd w:id="88"/>
      <w:bookmarkEnd w:id="89"/>
      <w:bookmarkEnd w:id="90"/>
    </w:p>
    <w:p w14:paraId="52A4773D">
      <w:pPr>
        <w:keepNext/>
        <w:keepLines/>
        <w:spacing w:line="360" w:lineRule="auto"/>
        <w:outlineLvl w:val="2"/>
        <w:rPr>
          <w:rFonts w:ascii="Times New Roman" w:hAnsi="Times New Roman" w:eastAsia="楷体_GB2312" w:cs="Times New Roman"/>
          <w:b/>
          <w:color w:val="1F497D"/>
          <w:spacing w:val="10"/>
          <w:kern w:val="28"/>
          <w:sz w:val="30"/>
          <w:szCs w:val="30"/>
        </w:rPr>
      </w:pPr>
      <w:r>
        <w:rPr>
          <w:rFonts w:hint="eastAsia" w:ascii="Times New Roman" w:hAnsi="Times New Roman" w:eastAsia="楷体_GB2312" w:cs="Times New Roman"/>
          <w:b/>
          <w:color w:val="1F497D"/>
          <w:spacing w:val="10"/>
          <w:kern w:val="28"/>
          <w:sz w:val="30"/>
          <w:szCs w:val="30"/>
        </w:rPr>
        <w:t>4.5.1 氢燃料汽车整车装备产业重点任务及关键技术</w:t>
      </w:r>
    </w:p>
    <w:p w14:paraId="29DD2F19">
      <w:pPr>
        <w:spacing w:line="360" w:lineRule="auto"/>
        <w:ind w:firstLine="602" w:firstLineChars="200"/>
        <w:rPr>
          <w:rFonts w:ascii="Times New Roman" w:hAnsi="Times New Roman" w:eastAsia="楷体_GB2312" w:cs="Times New Roman"/>
          <w:color w:val="0000FF"/>
          <w:sz w:val="28"/>
          <w:szCs w:val="30"/>
        </w:rPr>
      </w:pPr>
      <w:r>
        <w:rPr>
          <w:rFonts w:hint="eastAsia" w:ascii="Times New Roman" w:hAnsi="Times New Roman" w:eastAsia="楷体_GB2312" w:cs="Times New Roman"/>
          <w:b/>
          <w:spacing w:val="10"/>
          <w:kern w:val="28"/>
          <w:sz w:val="28"/>
          <w:szCs w:val="32"/>
        </w:rPr>
        <w:t>重点任务：</w:t>
      </w:r>
      <w:r>
        <w:rPr>
          <w:rFonts w:hint="eastAsia" w:ascii="Times New Roman" w:hAnsi="Times New Roman" w:eastAsia="楷体_GB2312" w:cs="Times New Roman"/>
          <w:sz w:val="28"/>
          <w:szCs w:val="30"/>
        </w:rPr>
        <w:t>近期重点研发氢燃料电池汽车核心零部件制造技术，发展重卡、公交车、机车、中巴、物流车、工程车和市政车辆等整车制造产业，远期布局氢燃料有轨电车、乘用车整车制造产业。</w:t>
      </w:r>
    </w:p>
    <w:p w14:paraId="733F5725">
      <w:pPr>
        <w:spacing w:line="360" w:lineRule="auto"/>
        <w:ind w:firstLine="562" w:firstLineChars="200"/>
        <w:rPr>
          <w:rFonts w:ascii="Times New Roman" w:hAnsi="Times New Roman" w:eastAsia="楷体_GB2312" w:cs="Times New Roman"/>
          <w:b/>
          <w:sz w:val="28"/>
          <w:szCs w:val="30"/>
        </w:rPr>
      </w:pPr>
      <w:r>
        <w:rPr>
          <w:rFonts w:hint="eastAsia" w:ascii="Times New Roman" w:hAnsi="Times New Roman" w:eastAsia="楷体_GB2312" w:cs="Times New Roman"/>
          <w:b/>
          <w:sz w:val="28"/>
          <w:szCs w:val="30"/>
        </w:rPr>
        <w:t>关键技术一：氢燃料电池汽车核心零部件技术开发</w:t>
      </w:r>
    </w:p>
    <w:p w14:paraId="1CD19C24">
      <w:pPr>
        <w:widowControl/>
        <w:ind w:firstLine="560" w:firstLineChars="200"/>
        <w:jc w:val="left"/>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近期引进消化吸收先进技术，加大对核心零部件材料和高端装备研发投入，核心零部件包括氢燃料电池用空压机、氢气再循环泵、燃料电池升压变换器、高集成度的瓶口阀和减压阀、车用储氢容器、</w:t>
      </w:r>
      <w:r>
        <w:rPr>
          <w:rFonts w:ascii="Times New Roman" w:hAnsi="Times New Roman" w:eastAsia="楷体_GB2312" w:cs="Times New Roman"/>
          <w:sz w:val="28"/>
          <w:szCs w:val="30"/>
        </w:rPr>
        <w:t>氢气电控喷射</w:t>
      </w:r>
      <w:r>
        <w:rPr>
          <w:rFonts w:hint="eastAsia" w:ascii="Times New Roman" w:hAnsi="Times New Roman" w:eastAsia="楷体_GB2312" w:cs="Times New Roman"/>
          <w:sz w:val="28"/>
          <w:szCs w:val="30"/>
        </w:rPr>
        <w:t>等。重点发展氢燃</w:t>
      </w:r>
      <w:r>
        <w:rPr>
          <w:rFonts w:ascii="Times New Roman" w:hAnsi="Times New Roman" w:eastAsia="楷体_GB2312" w:cs="Times New Roman"/>
          <w:sz w:val="28"/>
          <w:szCs w:val="30"/>
        </w:rPr>
        <w:t>料电池</w:t>
      </w:r>
      <w:r>
        <w:rPr>
          <w:rFonts w:hint="eastAsia" w:ascii="Times New Roman" w:hAnsi="Times New Roman" w:eastAsia="楷体_GB2312" w:cs="Times New Roman"/>
          <w:sz w:val="28"/>
          <w:szCs w:val="30"/>
        </w:rPr>
        <w:t>汽车</w:t>
      </w:r>
      <w:r>
        <w:rPr>
          <w:rFonts w:ascii="Times New Roman" w:hAnsi="Times New Roman" w:eastAsia="楷体_GB2312" w:cs="Times New Roman"/>
          <w:sz w:val="28"/>
          <w:szCs w:val="30"/>
        </w:rPr>
        <w:t>的电机系统、电控系统、电</w:t>
      </w:r>
      <w:r>
        <w:rPr>
          <w:rFonts w:hint="eastAsia" w:ascii="Times New Roman" w:hAnsi="Times New Roman" w:eastAsia="楷体_GB2312" w:cs="Times New Roman"/>
          <w:sz w:val="28"/>
          <w:szCs w:val="30"/>
        </w:rPr>
        <w:t>驱</w:t>
      </w:r>
      <w:r>
        <w:rPr>
          <w:rFonts w:ascii="Times New Roman" w:hAnsi="Times New Roman" w:eastAsia="楷体_GB2312" w:cs="Times New Roman"/>
          <w:sz w:val="28"/>
          <w:szCs w:val="30"/>
        </w:rPr>
        <w:t>系统，以及电动空调系统、电动制动系统、电动转向系统等。</w:t>
      </w:r>
      <w:r>
        <w:rPr>
          <w:rFonts w:hint="eastAsia" w:ascii="Times New Roman" w:hAnsi="Times New Roman" w:eastAsia="楷体_GB2312" w:cs="Times New Roman"/>
          <w:sz w:val="28"/>
          <w:szCs w:val="30"/>
        </w:rPr>
        <w:t>燃料电池企业及零部件生产企业需与科研院所组建创新技术联盟，集中优势学科资源和高端研发人才，围绕氢燃料电池汽车制造产业发展进行技术攻关，不断创新和提升技术，加快形成具备完整自主知识产权的研发、制造能力，打造氢燃料电池汽车关键零部件研发和产业化基地。</w:t>
      </w:r>
    </w:p>
    <w:p w14:paraId="189D6248">
      <w:pPr>
        <w:spacing w:line="360" w:lineRule="auto"/>
        <w:ind w:firstLine="602" w:firstLineChars="200"/>
        <w:rPr>
          <w:rFonts w:ascii="Times New Roman" w:hAnsi="Times New Roman" w:eastAsia="楷体_GB2312" w:cs="Times New Roman"/>
          <w:sz w:val="28"/>
          <w:szCs w:val="30"/>
        </w:rPr>
      </w:pPr>
      <w:r>
        <w:rPr>
          <w:rFonts w:hint="eastAsia" w:ascii="Times New Roman" w:hAnsi="Times New Roman" w:eastAsia="楷体_GB2312" w:cs="Times New Roman"/>
          <w:b/>
          <w:spacing w:val="10"/>
          <w:kern w:val="28"/>
          <w:sz w:val="28"/>
          <w:szCs w:val="32"/>
        </w:rPr>
        <w:t>关键技术二：氢燃料电池整车制造技术开发</w:t>
      </w:r>
    </w:p>
    <w:p w14:paraId="50021113">
      <w:pPr>
        <w:spacing w:line="360" w:lineRule="auto"/>
        <w:ind w:firstLine="560" w:firstLineChars="200"/>
        <w:rPr>
          <w:rFonts w:ascii="Times New Roman" w:hAnsi="Times New Roman" w:eastAsia="楷体_GB2312" w:cs="Times New Roman"/>
          <w:sz w:val="28"/>
          <w:szCs w:val="30"/>
        </w:rPr>
      </w:pPr>
      <w:r>
        <w:rPr>
          <w:rFonts w:ascii="Times New Roman" w:hAnsi="Times New Roman" w:eastAsia="楷体_GB2312" w:cs="Times New Roman"/>
          <w:sz w:val="28"/>
          <w:szCs w:val="30"/>
        </w:rPr>
        <w:t>在整车设计动力系统平台化拓展、高集成、长寿命以及高效率上开展专项攻关</w:t>
      </w:r>
      <w:r>
        <w:rPr>
          <w:rFonts w:hint="eastAsia" w:ascii="Times New Roman" w:hAnsi="Times New Roman" w:eastAsia="楷体_GB2312" w:cs="Times New Roman"/>
          <w:sz w:val="28"/>
          <w:szCs w:val="30"/>
        </w:rPr>
        <w:t>，</w:t>
      </w:r>
      <w:r>
        <w:rPr>
          <w:rFonts w:ascii="Times New Roman" w:hAnsi="Times New Roman" w:eastAsia="楷体_GB2312" w:cs="Times New Roman"/>
          <w:sz w:val="28"/>
          <w:szCs w:val="30"/>
        </w:rPr>
        <w:t>在稳定供氢、续驶里程、动力性能等关键指标上取得商用性突破。</w:t>
      </w:r>
      <w:r>
        <w:rPr>
          <w:rFonts w:hint="eastAsia" w:ascii="Times New Roman" w:hAnsi="Times New Roman" w:eastAsia="楷体_GB2312" w:cs="Times New Roman"/>
          <w:sz w:val="28"/>
          <w:szCs w:val="30"/>
        </w:rPr>
        <w:t>支持引导整车生产企业开发氢燃料电池汽车，构建整车制造企业与零部件加工企业的紧密协作关系，积极推动高效氢燃料电池整车系统集成，重点突破燃料电池整车氢-电混合动力系统，优化提升整车控制系统、整车能量管理系统、系统安全防护、氢传感器安全检测和在线绝缘监测等关键技术，提高燃料电池整车经济性、安全性。</w:t>
      </w:r>
    </w:p>
    <w:p w14:paraId="47AB9CC4">
      <w:pPr>
        <w:keepNext/>
        <w:keepLines/>
        <w:snapToGrid w:val="0"/>
        <w:spacing w:before="156" w:beforeLines="50" w:line="360" w:lineRule="auto"/>
        <w:outlineLvl w:val="2"/>
        <w:rPr>
          <w:rFonts w:ascii="Times New Roman" w:hAnsi="Times New Roman" w:eastAsia="楷体_GB2312" w:cs="Times New Roman"/>
          <w:b/>
          <w:color w:val="1F497D"/>
          <w:spacing w:val="10"/>
          <w:kern w:val="28"/>
          <w:sz w:val="30"/>
          <w:szCs w:val="30"/>
        </w:rPr>
      </w:pPr>
      <w:r>
        <w:rPr>
          <w:rFonts w:hint="eastAsia" w:ascii="Times New Roman" w:hAnsi="Times New Roman" w:eastAsia="楷体_GB2312" w:cs="Times New Roman"/>
          <w:b/>
          <w:color w:val="1F497D"/>
          <w:spacing w:val="10"/>
          <w:kern w:val="28"/>
          <w:sz w:val="30"/>
          <w:szCs w:val="30"/>
        </w:rPr>
        <w:t>4.5.2 天然气管道掺氢及应用重点任务及关键技术</w:t>
      </w:r>
    </w:p>
    <w:p w14:paraId="3A40D88B">
      <w:pPr>
        <w:spacing w:line="360" w:lineRule="auto"/>
        <w:ind w:firstLine="602" w:firstLineChars="200"/>
        <w:rPr>
          <w:rFonts w:ascii="Times New Roman" w:hAnsi="Times New Roman" w:eastAsia="楷体_GB2312" w:cs="Times New Roman"/>
          <w:sz w:val="28"/>
          <w:szCs w:val="30"/>
        </w:rPr>
      </w:pPr>
      <w:r>
        <w:rPr>
          <w:rFonts w:hint="eastAsia" w:ascii="Times New Roman" w:hAnsi="Times New Roman" w:eastAsia="楷体_GB2312" w:cs="Times New Roman"/>
          <w:b/>
          <w:spacing w:val="10"/>
          <w:kern w:val="28"/>
          <w:sz w:val="28"/>
          <w:szCs w:val="32"/>
        </w:rPr>
        <w:t>重点任务：</w:t>
      </w:r>
      <w:r>
        <w:rPr>
          <w:rFonts w:hint="eastAsia" w:ascii="Times New Roman" w:hAnsi="Times New Roman" w:eastAsia="楷体_GB2312" w:cs="Times New Roman"/>
          <w:bCs/>
          <w:spacing w:val="10"/>
          <w:kern w:val="28"/>
          <w:sz w:val="28"/>
          <w:szCs w:val="32"/>
        </w:rPr>
        <w:t>制定天然气/煤层气管道掺氢比例及相关标准，重</w:t>
      </w:r>
      <w:r>
        <w:rPr>
          <w:rFonts w:hint="eastAsia" w:ascii="Times New Roman" w:hAnsi="Times New Roman" w:eastAsia="楷体_GB2312" w:cs="Times New Roman"/>
          <w:spacing w:val="10"/>
          <w:kern w:val="28"/>
          <w:sz w:val="28"/>
          <w:szCs w:val="32"/>
        </w:rPr>
        <w:t>点发展天然气管道掺氢燃气产业，加快掺氢天然气/煤层气管网建设和示范运营；构建掺氢天然气</w:t>
      </w:r>
      <w:r>
        <w:rPr>
          <w:rFonts w:hint="eastAsia" w:ascii="Times New Roman" w:hAnsi="Times New Roman" w:eastAsia="楷体_GB2312" w:cs="Times New Roman"/>
          <w:sz w:val="28"/>
          <w:szCs w:val="30"/>
        </w:rPr>
        <w:t>/煤层气</w:t>
      </w:r>
      <w:r>
        <w:rPr>
          <w:rFonts w:hint="eastAsia" w:ascii="Times New Roman" w:hAnsi="Times New Roman" w:eastAsia="楷体_GB2312" w:cs="Times New Roman"/>
          <w:spacing w:val="10"/>
          <w:kern w:val="28"/>
          <w:sz w:val="28"/>
          <w:szCs w:val="32"/>
        </w:rPr>
        <w:t>（HCNG）供应网络，推动HCNG燃料加气站和机动车产业示范和推广，培育HCNG燃料在工业和民用燃气应用市场。</w:t>
      </w:r>
    </w:p>
    <w:p w14:paraId="23980864">
      <w:pPr>
        <w:spacing w:line="360" w:lineRule="auto"/>
        <w:ind w:firstLine="602" w:firstLineChars="200"/>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关键技术一：天然气</w:t>
      </w:r>
      <w:r>
        <w:rPr>
          <w:rFonts w:ascii="Times New Roman" w:hAnsi="Times New Roman" w:eastAsia="楷体_GB2312" w:cs="Times New Roman"/>
          <w:b/>
          <w:spacing w:val="10"/>
          <w:kern w:val="28"/>
          <w:sz w:val="28"/>
          <w:szCs w:val="32"/>
        </w:rPr>
        <w:t>/</w:t>
      </w:r>
      <w:r>
        <w:rPr>
          <w:rFonts w:hint="eastAsia" w:ascii="Times New Roman" w:hAnsi="Times New Roman" w:eastAsia="楷体_GB2312" w:cs="Times New Roman"/>
          <w:b/>
          <w:spacing w:val="10"/>
          <w:kern w:val="28"/>
          <w:sz w:val="28"/>
          <w:szCs w:val="32"/>
        </w:rPr>
        <w:t>煤层气管道掺氢比例及相关标准制定</w:t>
      </w:r>
    </w:p>
    <w:p w14:paraId="19050F54">
      <w:pPr>
        <w:spacing w:line="360" w:lineRule="auto"/>
        <w:ind w:firstLine="600" w:firstLineChars="200"/>
        <w:rPr>
          <w:rFonts w:ascii="Times New Roman" w:hAnsi="Times New Roman" w:eastAsia="楷体_GB2312" w:cs="Times New Roman"/>
          <w:spacing w:val="10"/>
          <w:kern w:val="28"/>
          <w:sz w:val="28"/>
          <w:szCs w:val="32"/>
        </w:rPr>
      </w:pPr>
      <w:r>
        <w:rPr>
          <w:rFonts w:hint="eastAsia" w:ascii="Times New Roman" w:hAnsi="Times New Roman" w:eastAsia="楷体_GB2312" w:cs="Times New Roman"/>
          <w:spacing w:val="10"/>
          <w:kern w:val="28"/>
          <w:sz w:val="28"/>
          <w:szCs w:val="32"/>
        </w:rPr>
        <w:t>探索氢气掺混比例对掺氢天然气/煤层气管网材质、输送参数的影响，对掺氢天然气/煤层气燃烧特性、掺氢天然气/煤层气管网安全距离、泄露安全风险、危险预防措施和控制方法进行科学研究和分析，</w:t>
      </w:r>
      <w:r>
        <w:rPr>
          <w:rFonts w:ascii="Times New Roman" w:hAnsi="Times New Roman" w:eastAsia="楷体_GB2312" w:cs="Times New Roman"/>
          <w:spacing w:val="10"/>
          <w:kern w:val="28"/>
          <w:sz w:val="28"/>
          <w:szCs w:val="32"/>
        </w:rPr>
        <w:t>为管道的安全管理工作提供依据</w:t>
      </w:r>
      <w:r>
        <w:rPr>
          <w:rFonts w:hint="eastAsia" w:ascii="Times New Roman" w:hAnsi="Times New Roman" w:eastAsia="楷体_GB2312" w:cs="Times New Roman"/>
          <w:spacing w:val="10"/>
          <w:kern w:val="28"/>
          <w:sz w:val="28"/>
          <w:szCs w:val="32"/>
        </w:rPr>
        <w:t>，制定统一的掺氢天然气/煤层气行业设计和运行规范。</w:t>
      </w:r>
    </w:p>
    <w:p w14:paraId="5EF89E86">
      <w:pPr>
        <w:spacing w:line="360" w:lineRule="auto"/>
        <w:ind w:firstLine="566" w:firstLineChars="188"/>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关键技术二：高性能管材和相关设备开发</w:t>
      </w:r>
    </w:p>
    <w:p w14:paraId="3E65A0F8">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输送管道的氢脆和氢气渗透风险是影响掺氢天然气管网安全性的关键因素，建立健全特定掺氢比例下掺氢天然气管网输送和配送管道材料力学性能数据库。同时开发新型抗氢蚀高性能材料、高效的掺氢天然气管道输送技术，加强对现有管道损伤、裂缝的探查和处理，使其使用寿命和安全性达到掺氢天然气管网输送的技术要求，降低输送成本，能耗指标达到国际先进水平。开展掺氢天然气压缩机、储罐、增压机等相关设备的开发和工业应用示范。</w:t>
      </w:r>
    </w:p>
    <w:p w14:paraId="63F738E5">
      <w:pPr>
        <w:spacing w:line="360" w:lineRule="auto"/>
        <w:ind w:firstLine="566" w:firstLineChars="188"/>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关键技术三：氢气与天然气低成本高纯度分离技术开发</w:t>
      </w:r>
    </w:p>
    <w:p w14:paraId="3F9CB408">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吸收国内外先进的氢气与天然气高效分离技术，重点发展PSA提纯氢技术设备与技术集成，同时发展PSA吸附剂、阀门、选择性透氢膜等关键材料和零部件。积极拓展PSA小型化设备、钯膜分离设备等应用广泛的细分领域，满足车载氢燃料电池、分布式电堆的应用需求，单位质量氢的分离能耗在现有技术的基础上降低10-20%。</w:t>
      </w:r>
    </w:p>
    <w:p w14:paraId="506FAFC1">
      <w:pPr>
        <w:spacing w:line="360" w:lineRule="auto"/>
        <w:ind w:firstLine="566" w:firstLineChars="188"/>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关键技术四：</w:t>
      </w:r>
      <w:r>
        <w:rPr>
          <w:rFonts w:ascii="Times New Roman" w:hAnsi="Times New Roman" w:eastAsia="楷体_GB2312" w:cs="Times New Roman"/>
          <w:b/>
          <w:spacing w:val="10"/>
          <w:kern w:val="28"/>
          <w:sz w:val="28"/>
          <w:szCs w:val="32"/>
        </w:rPr>
        <w:t>HCNG</w:t>
      </w:r>
      <w:r>
        <w:rPr>
          <w:rFonts w:hint="eastAsia" w:ascii="Times New Roman" w:hAnsi="Times New Roman" w:eastAsia="楷体_GB2312" w:cs="Times New Roman"/>
          <w:b/>
          <w:spacing w:val="10"/>
          <w:kern w:val="28"/>
          <w:sz w:val="28"/>
          <w:szCs w:val="32"/>
        </w:rPr>
        <w:t>燃料加气站和机动车产业示范和推广</w:t>
      </w:r>
    </w:p>
    <w:p w14:paraId="48E9B16C">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建设示范性天然气/煤层气掺氢管道和加气站，开发与完善HCNG燃料加气站内整套系统，率先在公共交通、出租车、物流领域推广天然气/煤层气掺氢燃料，形成示范效应。研发超低排放、高效率的HCNG燃料发动机，形成达到国内先进水平的HCNG汽车整车制造技术，推动HCNG汽车示范运行，形成掌握核心技术的产业链成套技术。</w:t>
      </w:r>
    </w:p>
    <w:p w14:paraId="6690DE5B">
      <w:pPr>
        <w:keepNext/>
        <w:keepLines/>
        <w:snapToGrid w:val="0"/>
        <w:spacing w:before="156" w:beforeLines="50" w:line="360" w:lineRule="auto"/>
        <w:outlineLvl w:val="2"/>
        <w:rPr>
          <w:rFonts w:ascii="Times New Roman" w:hAnsi="Times New Roman" w:eastAsia="楷体_GB2312" w:cs="Times New Roman"/>
          <w:b/>
          <w:color w:val="1F497D"/>
          <w:spacing w:val="10"/>
          <w:kern w:val="28"/>
          <w:sz w:val="30"/>
          <w:szCs w:val="30"/>
        </w:rPr>
      </w:pPr>
      <w:r>
        <w:rPr>
          <w:rFonts w:hint="eastAsia" w:ascii="Times New Roman" w:hAnsi="Times New Roman" w:eastAsia="楷体_GB2312" w:cs="Times New Roman"/>
          <w:b/>
          <w:color w:val="1F497D"/>
          <w:spacing w:val="10"/>
          <w:kern w:val="28"/>
          <w:sz w:val="30"/>
          <w:szCs w:val="30"/>
        </w:rPr>
        <w:t>4.5.3 氢燃料电池应急电源技术的应用开发</w:t>
      </w:r>
    </w:p>
    <w:p w14:paraId="5E017AA6">
      <w:pPr>
        <w:spacing w:line="360" w:lineRule="auto"/>
        <w:ind w:firstLine="602" w:firstLineChars="200"/>
        <w:rPr>
          <w:rFonts w:ascii="Times New Roman" w:hAnsi="Times New Roman" w:eastAsia="楷体_GB2312" w:cs="Times New Roman"/>
          <w:b/>
          <w:sz w:val="28"/>
          <w:szCs w:val="30"/>
        </w:rPr>
      </w:pPr>
      <w:r>
        <w:rPr>
          <w:rFonts w:hint="eastAsia" w:ascii="Times New Roman" w:hAnsi="Times New Roman" w:eastAsia="楷体_GB2312" w:cs="Times New Roman"/>
          <w:b/>
          <w:spacing w:val="10"/>
          <w:kern w:val="28"/>
          <w:sz w:val="28"/>
          <w:szCs w:val="32"/>
        </w:rPr>
        <w:t>重点任务：</w:t>
      </w:r>
      <w:r>
        <w:rPr>
          <w:rFonts w:hint="eastAsia" w:ascii="Times New Roman" w:hAnsi="Times New Roman" w:eastAsia="楷体_GB2312" w:cs="Times New Roman"/>
          <w:sz w:val="28"/>
          <w:szCs w:val="30"/>
        </w:rPr>
        <w:t>重点推进氢燃料电池分布式电源、应急电源技术开发及产业应用。</w:t>
      </w:r>
    </w:p>
    <w:p w14:paraId="794B8EAF">
      <w:pPr>
        <w:spacing w:line="360" w:lineRule="auto"/>
        <w:ind w:firstLine="562" w:firstLineChars="200"/>
        <w:rPr>
          <w:rFonts w:ascii="Times New Roman" w:hAnsi="Times New Roman" w:eastAsia="楷体_GB2312" w:cs="Times New Roman"/>
          <w:b/>
          <w:sz w:val="28"/>
          <w:szCs w:val="30"/>
        </w:rPr>
      </w:pPr>
      <w:r>
        <w:rPr>
          <w:rFonts w:hint="eastAsia" w:ascii="Times New Roman" w:hAnsi="Times New Roman" w:eastAsia="楷体_GB2312" w:cs="Times New Roman"/>
          <w:b/>
          <w:sz w:val="28"/>
          <w:szCs w:val="30"/>
        </w:rPr>
        <w:t>关键技术一：氢燃料电池一体化热电联供系统开发</w:t>
      </w:r>
    </w:p>
    <w:p w14:paraId="3D20010A">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推广氢能在燃料电池、发电、供热等领域的不同应用形式，重点开发性能可靠、寿命长、热平衡稳定的氢燃料电池一体化热电联供系统，</w:t>
      </w:r>
      <w:r>
        <w:rPr>
          <w:rFonts w:ascii="Times New Roman" w:hAnsi="Times New Roman" w:eastAsia="楷体_GB2312" w:cs="Times New Roman"/>
          <w:sz w:val="28"/>
          <w:szCs w:val="30"/>
        </w:rPr>
        <w:t>鼓励开展燃氢燃气轮机研究。</w:t>
      </w:r>
      <w:r>
        <w:rPr>
          <w:rFonts w:hint="eastAsia" w:ascii="Times New Roman" w:hAnsi="Times New Roman" w:eastAsia="楷体_GB2312" w:cs="Times New Roman"/>
          <w:sz w:val="28"/>
          <w:szCs w:val="30"/>
        </w:rPr>
        <w:t>发展将发电系统、氢存储供应系统、输配电基础设施高度集成的分布式氢燃料电池产业；形成高能源效率，输/供电安全可靠、环境影响小的电网系统。将大同市打造成为具有国际影响力的分布式燃料电池发电应用城市，带动山西省乃至全国氢燃料电池产品多元化应用。</w:t>
      </w:r>
    </w:p>
    <w:p w14:paraId="293F3169">
      <w:pPr>
        <w:spacing w:line="360" w:lineRule="auto"/>
        <w:ind w:firstLine="562" w:firstLineChars="200"/>
        <w:rPr>
          <w:rFonts w:ascii="Times New Roman" w:hAnsi="Times New Roman" w:eastAsia="楷体_GB2312" w:cs="Times New Roman"/>
          <w:b/>
          <w:sz w:val="28"/>
          <w:szCs w:val="30"/>
        </w:rPr>
      </w:pPr>
      <w:r>
        <w:rPr>
          <w:rFonts w:hint="eastAsia" w:ascii="Times New Roman" w:hAnsi="Times New Roman" w:eastAsia="楷体_GB2312" w:cs="Times New Roman"/>
          <w:b/>
          <w:sz w:val="28"/>
          <w:szCs w:val="30"/>
        </w:rPr>
        <w:t>关键技术二：车载移动式氢燃料电池应急电源技术开发</w:t>
      </w:r>
    </w:p>
    <w:p w14:paraId="63F176CF">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配合氢燃料电池整车装备技术及氢燃料电池技术，开发小型化、大功率、宽环境使用温度、</w:t>
      </w:r>
      <w:r>
        <w:rPr>
          <w:rFonts w:ascii="Times New Roman" w:hAnsi="Times New Roman" w:eastAsia="楷体_GB2312" w:cs="Times New Roman"/>
          <w:sz w:val="28"/>
          <w:szCs w:val="30"/>
        </w:rPr>
        <w:t>长寿命、高性能、低成本</w:t>
      </w:r>
      <w:r>
        <w:rPr>
          <w:rFonts w:hint="eastAsia" w:ascii="Times New Roman" w:hAnsi="Times New Roman" w:eastAsia="楷体_GB2312" w:cs="Times New Roman"/>
          <w:sz w:val="28"/>
          <w:szCs w:val="30"/>
        </w:rPr>
        <w:t>的车载移动式氢燃料电池应急电源产品，满足应急电源的供应，提供长时间、稳定、低噪音的绿色供电。</w:t>
      </w:r>
    </w:p>
    <w:p w14:paraId="4A718594">
      <w:pPr>
        <w:pStyle w:val="4"/>
      </w:pPr>
      <w:bookmarkStart w:id="91" w:name="_Toc52306980"/>
      <w:bookmarkStart w:id="92" w:name="_Toc52377968"/>
      <w:r>
        <w:rPr>
          <w:rFonts w:hint="eastAsia"/>
        </w:rPr>
        <w:t>4.6</w:t>
      </w:r>
      <w:r>
        <w:t xml:space="preserve"> </w:t>
      </w:r>
      <w:r>
        <w:rPr>
          <w:rFonts w:hint="eastAsia"/>
        </w:rPr>
        <w:t>氢燃料汽车应用网络建设</w:t>
      </w:r>
      <w:bookmarkEnd w:id="91"/>
      <w:r>
        <w:rPr>
          <w:rFonts w:hint="eastAsia"/>
        </w:rPr>
        <w:t>重点任务</w:t>
      </w:r>
      <w:bookmarkEnd w:id="92"/>
    </w:p>
    <w:p w14:paraId="39B6DE13">
      <w:pPr>
        <w:pStyle w:val="302"/>
      </w:pPr>
      <w:r>
        <w:rPr>
          <w:rFonts w:hint="eastAsia"/>
        </w:rPr>
        <w:t>综合考虑</w:t>
      </w:r>
      <w:bookmarkStart w:id="93" w:name="_Hlk51174956"/>
      <w:r>
        <w:rPr>
          <w:rFonts w:hint="eastAsia"/>
        </w:rPr>
        <w:t>制氢基地与加氢站距离、氢源运输方式以及氢燃料汽车推广应用等因素，在大同市重点交通线路、工矿企业短途运输线路和市政工程车辆线路上分阶段、分批次、分类型推广氢燃料汽车，并建设独立加氢站、加氢加油混合站、加氢加气混合站和加氢加油加气混合站网络，构建制氢-储运-加氢-应用的氢能源生态网络。</w:t>
      </w:r>
    </w:p>
    <w:bookmarkEnd w:id="93"/>
    <w:p w14:paraId="0E4CC519">
      <w:pPr>
        <w:spacing w:line="360" w:lineRule="auto"/>
        <w:ind w:firstLine="602" w:firstLineChars="200"/>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重点任务一：氢燃料客车推广规划及应用网络建设</w:t>
      </w:r>
    </w:p>
    <w:p w14:paraId="02113A6D">
      <w:pPr>
        <w:pStyle w:val="302"/>
        <w:rPr>
          <w:b/>
        </w:rPr>
      </w:pPr>
      <w:bookmarkStart w:id="94" w:name="_Hlk51175187"/>
      <w:r>
        <w:rPr>
          <w:rFonts w:hint="eastAsia"/>
        </w:rPr>
        <w:t>根据大同市现有氢燃料汽车的生产技术水平，结合大同市的资源条件和产业现状，给出大同市燃料乘用车的推广计划</w:t>
      </w:r>
      <w:bookmarkEnd w:id="94"/>
      <w:r>
        <w:rPr>
          <w:rFonts w:hint="eastAsia"/>
        </w:rPr>
        <w:t>，推广计划如表4-1所示。</w:t>
      </w:r>
    </w:p>
    <w:p w14:paraId="48E4DCEA">
      <w:pPr>
        <w:pStyle w:val="302"/>
        <w:ind w:firstLine="562"/>
      </w:pPr>
      <w:bookmarkStart w:id="95" w:name="_Hlk51175260"/>
      <w:r>
        <w:rPr>
          <w:rFonts w:hint="eastAsia"/>
          <w:b/>
        </w:rPr>
        <w:t>氢燃料公交车推广规划及示范：</w:t>
      </w:r>
      <w:r>
        <w:rPr>
          <w:rFonts w:hint="eastAsia"/>
          <w:bCs/>
        </w:rPr>
        <w:t>大</w:t>
      </w:r>
      <w:r>
        <w:rPr>
          <w:rFonts w:hint="eastAsia"/>
        </w:rPr>
        <w:t>同市目前现有公交车1196辆，其中氢燃料公交车51辆，在氢燃料汽车推广大同市前期，将</w:t>
      </w:r>
      <w:r>
        <w:fldChar w:fldCharType="begin"/>
      </w:r>
      <w:r>
        <w:instrText xml:space="preserve"> HYPERLINK "javascript:void(0)" </w:instrText>
      </w:r>
      <w:r>
        <w:fldChar w:fldCharType="separate"/>
      </w:r>
      <w:r>
        <w:rPr>
          <w:rStyle w:val="71"/>
          <w:color w:val="auto"/>
          <w:u w:val="none"/>
        </w:rPr>
        <w:t>新荣区</w:t>
      </w:r>
      <w:r>
        <w:rPr>
          <w:rStyle w:val="71"/>
          <w:color w:val="auto"/>
          <w:u w:val="none"/>
        </w:rPr>
        <w:fldChar w:fldCharType="end"/>
      </w:r>
      <w:r>
        <w:rPr>
          <w:rFonts w:hint="eastAsia"/>
        </w:rPr>
        <w:t>、</w:t>
      </w:r>
      <w:r>
        <w:fldChar w:fldCharType="begin"/>
      </w:r>
      <w:r>
        <w:instrText xml:space="preserve"> HYPERLINK "javascript:void(0)" </w:instrText>
      </w:r>
      <w:r>
        <w:fldChar w:fldCharType="separate"/>
      </w:r>
      <w:r>
        <w:rPr>
          <w:rStyle w:val="71"/>
          <w:color w:val="auto"/>
          <w:u w:val="none"/>
        </w:rPr>
        <w:t>平城区</w:t>
      </w:r>
      <w:r>
        <w:rPr>
          <w:rStyle w:val="71"/>
          <w:color w:val="auto"/>
          <w:u w:val="none"/>
        </w:rPr>
        <w:fldChar w:fldCharType="end"/>
      </w:r>
      <w:r>
        <w:rPr>
          <w:rFonts w:hint="eastAsia"/>
        </w:rPr>
        <w:t>、</w:t>
      </w:r>
      <w:r>
        <w:fldChar w:fldCharType="begin"/>
      </w:r>
      <w:r>
        <w:instrText xml:space="preserve"> HYPERLINK "javascript:void(0)" </w:instrText>
      </w:r>
      <w:r>
        <w:fldChar w:fldCharType="separate"/>
      </w:r>
      <w:r>
        <w:rPr>
          <w:rStyle w:val="71"/>
          <w:color w:val="auto"/>
          <w:u w:val="none"/>
        </w:rPr>
        <w:t>云冈区</w:t>
      </w:r>
      <w:r>
        <w:rPr>
          <w:rStyle w:val="71"/>
          <w:color w:val="auto"/>
          <w:u w:val="none"/>
        </w:rPr>
        <w:fldChar w:fldCharType="end"/>
      </w:r>
      <w:r>
        <w:rPr>
          <w:rFonts w:hint="eastAsia"/>
        </w:rPr>
        <w:t>和</w:t>
      </w:r>
      <w:r>
        <w:fldChar w:fldCharType="begin"/>
      </w:r>
      <w:r>
        <w:instrText xml:space="preserve"> HYPERLINK "javascript:void(0)" </w:instrText>
      </w:r>
      <w:r>
        <w:fldChar w:fldCharType="separate"/>
      </w:r>
      <w:r>
        <w:rPr>
          <w:rStyle w:val="71"/>
          <w:color w:val="auto"/>
          <w:u w:val="none"/>
        </w:rPr>
        <w:t>云州区</w:t>
      </w:r>
      <w:r>
        <w:rPr>
          <w:rStyle w:val="71"/>
          <w:color w:val="auto"/>
          <w:u w:val="none"/>
        </w:rPr>
        <w:fldChar w:fldCharType="end"/>
      </w:r>
      <w:r>
        <w:rPr>
          <w:rFonts w:hint="eastAsia"/>
        </w:rPr>
        <w:t>打造成主要的氢燃料公交车示范区。预计到2023年，示范区内新增的公交车中的柴油车全部通过氢燃料车替代，示范区内有不少于20条公交线路采用氢燃料公交，运行车辆不少于200辆；到2025年大同市公交线中氢燃料汽车的占有率不低于30%，氢燃料公交车保有量不低于500辆；考虑到未来大同市快速发展，公交车保有量也将增加，到2030年大同市约有氢燃料公交车1000辆，公交车全部由新能源车组成，柴油公交车全部淘汰，其中氢燃料公交车占三分之二，约1000辆，氢能源公交车向县及城乡普及。</w:t>
      </w:r>
    </w:p>
    <w:p w14:paraId="29648F53">
      <w:pPr>
        <w:pStyle w:val="302"/>
        <w:ind w:firstLine="562"/>
      </w:pPr>
      <w:r>
        <w:rPr>
          <w:rFonts w:hint="eastAsia"/>
          <w:b/>
        </w:rPr>
        <w:t>氢燃料客运汽车的推广和示范：</w:t>
      </w:r>
      <w:r>
        <w:rPr>
          <w:rFonts w:hint="eastAsia"/>
        </w:rPr>
        <w:t>前期主要选择市区间的长途和中短途汽车线路，进行氢燃料长途大、中型客车的示范线路，打造大同至太原、长治、内蒙及京津冀等省内外的氢燃料长途客车线路，同时打造氢燃料中短途车示范网络，预计到2023年，示范线路不少于10条，氢燃料长途客车保有量达70辆以上；中期实现氢燃料汽车对大同市周边主要市间长途客运线全覆盖，预计到2025年保有量突破160辆，同时开始向县级及乡镇转移；到2030年，在大同市周边省市的氢燃料汽车客运线占有率达50%以上，氢燃料客运汽车保有量达到470辆以上。</w:t>
      </w:r>
    </w:p>
    <w:p w14:paraId="6AFE388E">
      <w:pPr>
        <w:pStyle w:val="302"/>
        <w:ind w:firstLine="562"/>
      </w:pPr>
      <w:r>
        <w:rPr>
          <w:rFonts w:hint="eastAsia"/>
          <w:b/>
        </w:rPr>
        <w:t>旅游客车和政府及企业氢燃料客车的推广和示范：</w:t>
      </w:r>
      <w:r>
        <w:rPr>
          <w:rFonts w:hint="eastAsia"/>
        </w:rPr>
        <w:t>前期在部分旅游线路进行氢燃料大中型客车的示范，同时发挥政府和大型国有企业的引领作用，进行氢燃料汽车在政府公务车和企业通勤车领域的示范，预计到2023年，氢燃料汽车在旅游客车、政府公务车和企业通勤车领域的保有量达到30辆；到2025年，保有量突破230辆，到2030年，旅游专线、政府公务车和企业通勤车中的柴油车基本淘汰，氢能源车保有量达到1000辆以上，实现“柴转氢”。</w:t>
      </w:r>
    </w:p>
    <w:p w14:paraId="1F3F6A7E">
      <w:pPr>
        <w:pStyle w:val="302"/>
      </w:pPr>
      <w:r>
        <w:rPr>
          <w:rFonts w:hint="eastAsia"/>
        </w:rPr>
        <w:t>氢燃料小型乘用车的示范和推广：到2023年，充分发挥政府和大型企业的引领作用，进行小型氢燃料乘用车的推广和示范，预计推广20辆氢燃料乘用车；中期以出租车和政府用车进行氢燃料小型乘用车的示范和推广，预计到2025年小型氢燃料乘用车的保有量达到600辆以上，技术和产业化基本成熟；到2030年，小型氢燃料乘用车在出租车、政府及企业用车和私家车等领域广泛应用，力争保有量达3400辆以上。</w:t>
      </w:r>
    </w:p>
    <w:tbl>
      <w:tblPr>
        <w:tblStyle w:val="62"/>
        <w:tblW w:w="9072" w:type="dxa"/>
        <w:tblInd w:w="97" w:type="dxa"/>
        <w:tblLayout w:type="fixed"/>
        <w:tblCellMar>
          <w:top w:w="0" w:type="dxa"/>
          <w:left w:w="108" w:type="dxa"/>
          <w:bottom w:w="0" w:type="dxa"/>
          <w:right w:w="108" w:type="dxa"/>
        </w:tblCellMar>
      </w:tblPr>
      <w:tblGrid>
        <w:gridCol w:w="784"/>
        <w:gridCol w:w="1354"/>
        <w:gridCol w:w="1134"/>
        <w:gridCol w:w="1134"/>
        <w:gridCol w:w="1129"/>
        <w:gridCol w:w="1057"/>
        <w:gridCol w:w="1240"/>
        <w:gridCol w:w="1240"/>
      </w:tblGrid>
      <w:tr w14:paraId="479A4245">
        <w:tblPrEx>
          <w:tblCellMar>
            <w:top w:w="0" w:type="dxa"/>
            <w:left w:w="108" w:type="dxa"/>
            <w:bottom w:w="0" w:type="dxa"/>
            <w:right w:w="108" w:type="dxa"/>
          </w:tblCellMar>
        </w:tblPrEx>
        <w:trPr>
          <w:trHeight w:val="285" w:hRule="atLeast"/>
        </w:trPr>
        <w:tc>
          <w:tcPr>
            <w:tcW w:w="9072" w:type="dxa"/>
            <w:gridSpan w:val="8"/>
            <w:tcBorders>
              <w:top w:val="single" w:color="1F497D" w:themeColor="text2" w:sz="12" w:space="0"/>
            </w:tcBorders>
            <w:vAlign w:val="center"/>
          </w:tcPr>
          <w:p w14:paraId="06FE0B22">
            <w:pPr>
              <w:widowControl/>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表4-1：大同市氢燃料客车推广计划</w:t>
            </w:r>
            <w:r>
              <w:rPr>
                <w:rFonts w:ascii="Times New Roman" w:hAnsi="Times New Roman" w:eastAsia="仿宋_GB2312" w:cs="Times New Roman"/>
                <w:b/>
                <w:bCs/>
                <w:kern w:val="0"/>
                <w:sz w:val="24"/>
                <w:szCs w:val="24"/>
              </w:rPr>
              <w:t>(</w:t>
            </w:r>
            <w:r>
              <w:rPr>
                <w:rFonts w:hint="eastAsia" w:ascii="Times New Roman" w:hAnsi="Times New Roman" w:eastAsia="仿宋_GB2312" w:cs="Times New Roman"/>
                <w:b/>
                <w:bCs/>
                <w:kern w:val="0"/>
                <w:sz w:val="24"/>
                <w:szCs w:val="24"/>
              </w:rPr>
              <w:t>辆</w:t>
            </w:r>
            <w:r>
              <w:rPr>
                <w:rFonts w:ascii="Times New Roman" w:hAnsi="Times New Roman" w:eastAsia="仿宋_GB2312" w:cs="Times New Roman"/>
                <w:b/>
                <w:bCs/>
                <w:kern w:val="0"/>
                <w:sz w:val="24"/>
                <w:szCs w:val="24"/>
              </w:rPr>
              <w:t>)</w:t>
            </w:r>
          </w:p>
        </w:tc>
      </w:tr>
      <w:tr w14:paraId="1B517429">
        <w:tblPrEx>
          <w:tblCellMar>
            <w:top w:w="0" w:type="dxa"/>
            <w:left w:w="108" w:type="dxa"/>
            <w:bottom w:w="0" w:type="dxa"/>
            <w:right w:w="108" w:type="dxa"/>
          </w:tblCellMar>
        </w:tblPrEx>
        <w:trPr>
          <w:trHeight w:val="285" w:hRule="atLeast"/>
        </w:trPr>
        <w:tc>
          <w:tcPr>
            <w:tcW w:w="2138" w:type="dxa"/>
            <w:gridSpan w:val="2"/>
            <w:vMerge w:val="restart"/>
            <w:tcBorders>
              <w:top w:val="single" w:color="000000" w:sz="4" w:space="0"/>
              <w:right w:val="single" w:color="000000" w:sz="4" w:space="0"/>
            </w:tcBorders>
            <w:vAlign w:val="center"/>
          </w:tcPr>
          <w:p w14:paraId="185982C2">
            <w:pPr>
              <w:widowControl/>
              <w:jc w:val="left"/>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名称</w:t>
            </w:r>
            <w:r>
              <w:rPr>
                <w:rFonts w:ascii="Times New Roman" w:hAnsi="Times New Roman" w:eastAsia="仿宋_GB2312" w:cs="Times New Roman"/>
                <w:b/>
                <w:bCs/>
                <w:kern w:val="0"/>
                <w:sz w:val="24"/>
                <w:szCs w:val="24"/>
              </w:rPr>
              <w:t>/</w:t>
            </w:r>
            <w:r>
              <w:rPr>
                <w:rFonts w:hint="eastAsia" w:ascii="Times New Roman" w:hAnsi="Times New Roman" w:eastAsia="仿宋_GB2312" w:cs="Times New Roman"/>
                <w:b/>
                <w:bCs/>
                <w:kern w:val="0"/>
                <w:sz w:val="24"/>
                <w:szCs w:val="24"/>
              </w:rPr>
              <w:t>年份</w:t>
            </w:r>
          </w:p>
        </w:tc>
        <w:tc>
          <w:tcPr>
            <w:tcW w:w="2268" w:type="dxa"/>
            <w:gridSpan w:val="2"/>
            <w:tcBorders>
              <w:top w:val="single" w:color="auto" w:sz="4" w:space="0"/>
              <w:left w:val="nil"/>
              <w:bottom w:val="single" w:color="auto" w:sz="4" w:space="0"/>
              <w:right w:val="single" w:color="000000" w:sz="4" w:space="0"/>
            </w:tcBorders>
            <w:shd w:val="clear" w:color="auto" w:fill="auto"/>
            <w:noWrap/>
            <w:vAlign w:val="center"/>
          </w:tcPr>
          <w:p w14:paraId="58E4AD5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202</w:t>
            </w:r>
            <w:r>
              <w:rPr>
                <w:rFonts w:hint="eastAsia" w:ascii="Times New Roman" w:hAnsi="Times New Roman" w:eastAsia="仿宋_GB2312" w:cs="Times New Roman"/>
                <w:b/>
                <w:bCs/>
                <w:kern w:val="0"/>
                <w:sz w:val="24"/>
                <w:szCs w:val="24"/>
              </w:rPr>
              <w:t>3年</w:t>
            </w:r>
          </w:p>
        </w:tc>
        <w:tc>
          <w:tcPr>
            <w:tcW w:w="2186" w:type="dxa"/>
            <w:gridSpan w:val="2"/>
            <w:tcBorders>
              <w:top w:val="single" w:color="auto" w:sz="4" w:space="0"/>
              <w:left w:val="nil"/>
              <w:bottom w:val="single" w:color="auto" w:sz="4" w:space="0"/>
              <w:right w:val="single" w:color="000000" w:sz="4" w:space="0"/>
            </w:tcBorders>
            <w:shd w:val="clear" w:color="auto" w:fill="auto"/>
            <w:noWrap/>
            <w:vAlign w:val="center"/>
          </w:tcPr>
          <w:p w14:paraId="2125C05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2025</w:t>
            </w:r>
            <w:r>
              <w:rPr>
                <w:rFonts w:hint="eastAsia" w:ascii="Times New Roman" w:hAnsi="Times New Roman" w:eastAsia="仿宋_GB2312" w:cs="Times New Roman"/>
                <w:b/>
                <w:bCs/>
                <w:kern w:val="0"/>
                <w:sz w:val="24"/>
                <w:szCs w:val="24"/>
              </w:rPr>
              <w:t>年</w:t>
            </w:r>
          </w:p>
        </w:tc>
        <w:tc>
          <w:tcPr>
            <w:tcW w:w="2480" w:type="dxa"/>
            <w:gridSpan w:val="2"/>
            <w:tcBorders>
              <w:top w:val="single" w:color="auto" w:sz="4" w:space="0"/>
              <w:left w:val="nil"/>
              <w:bottom w:val="single" w:color="auto" w:sz="4" w:space="0"/>
            </w:tcBorders>
            <w:shd w:val="clear" w:color="auto" w:fill="auto"/>
            <w:noWrap/>
            <w:vAlign w:val="center"/>
          </w:tcPr>
          <w:p w14:paraId="269AA9C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2030</w:t>
            </w:r>
            <w:r>
              <w:rPr>
                <w:rFonts w:hint="eastAsia" w:ascii="Times New Roman" w:hAnsi="Times New Roman" w:eastAsia="仿宋_GB2312" w:cs="Times New Roman"/>
                <w:b/>
                <w:bCs/>
                <w:kern w:val="0"/>
                <w:sz w:val="24"/>
                <w:szCs w:val="24"/>
              </w:rPr>
              <w:t>年</w:t>
            </w:r>
          </w:p>
        </w:tc>
      </w:tr>
      <w:tr w14:paraId="2BBB0407">
        <w:tblPrEx>
          <w:tblCellMar>
            <w:top w:w="0" w:type="dxa"/>
            <w:left w:w="108" w:type="dxa"/>
            <w:bottom w:w="0" w:type="dxa"/>
            <w:right w:w="108" w:type="dxa"/>
          </w:tblCellMar>
        </w:tblPrEx>
        <w:trPr>
          <w:trHeight w:val="285" w:hRule="atLeast"/>
        </w:trPr>
        <w:tc>
          <w:tcPr>
            <w:tcW w:w="2138" w:type="dxa"/>
            <w:gridSpan w:val="2"/>
            <w:vMerge w:val="continue"/>
            <w:tcBorders>
              <w:bottom w:val="single" w:color="auto" w:sz="12" w:space="0"/>
              <w:right w:val="single" w:color="000000" w:sz="4" w:space="0"/>
            </w:tcBorders>
            <w:vAlign w:val="center"/>
          </w:tcPr>
          <w:p w14:paraId="15B452A5">
            <w:pPr>
              <w:widowControl/>
              <w:jc w:val="left"/>
              <w:rPr>
                <w:rFonts w:ascii="Times New Roman" w:hAnsi="Times New Roman" w:eastAsia="仿宋_GB2312" w:cs="Times New Roman"/>
                <w:b/>
                <w:bCs/>
                <w:kern w:val="0"/>
                <w:sz w:val="24"/>
                <w:szCs w:val="24"/>
              </w:rPr>
            </w:pPr>
          </w:p>
        </w:tc>
        <w:tc>
          <w:tcPr>
            <w:tcW w:w="1134" w:type="dxa"/>
            <w:tcBorders>
              <w:top w:val="nil"/>
              <w:left w:val="nil"/>
              <w:bottom w:val="single" w:color="auto" w:sz="12" w:space="0"/>
              <w:right w:val="single" w:color="auto" w:sz="4" w:space="0"/>
            </w:tcBorders>
            <w:shd w:val="clear" w:color="auto" w:fill="auto"/>
            <w:noWrap/>
            <w:vAlign w:val="center"/>
          </w:tcPr>
          <w:p w14:paraId="6923E1EA">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新增量</w:t>
            </w:r>
          </w:p>
        </w:tc>
        <w:tc>
          <w:tcPr>
            <w:tcW w:w="1134" w:type="dxa"/>
            <w:tcBorders>
              <w:top w:val="nil"/>
              <w:left w:val="nil"/>
              <w:bottom w:val="single" w:color="auto" w:sz="12" w:space="0"/>
              <w:right w:val="single" w:color="auto" w:sz="4" w:space="0"/>
            </w:tcBorders>
            <w:shd w:val="clear" w:color="auto" w:fill="auto"/>
            <w:noWrap/>
            <w:vAlign w:val="center"/>
          </w:tcPr>
          <w:p w14:paraId="5592293E">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保有量</w:t>
            </w:r>
          </w:p>
        </w:tc>
        <w:tc>
          <w:tcPr>
            <w:tcW w:w="1129" w:type="dxa"/>
            <w:tcBorders>
              <w:top w:val="nil"/>
              <w:left w:val="nil"/>
              <w:bottom w:val="single" w:color="auto" w:sz="12" w:space="0"/>
              <w:right w:val="single" w:color="auto" w:sz="4" w:space="0"/>
            </w:tcBorders>
            <w:shd w:val="clear" w:color="auto" w:fill="auto"/>
            <w:noWrap/>
            <w:vAlign w:val="center"/>
          </w:tcPr>
          <w:p w14:paraId="29E41872">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新增量</w:t>
            </w:r>
          </w:p>
        </w:tc>
        <w:tc>
          <w:tcPr>
            <w:tcW w:w="1057" w:type="dxa"/>
            <w:tcBorders>
              <w:top w:val="nil"/>
              <w:left w:val="nil"/>
              <w:bottom w:val="single" w:color="auto" w:sz="12" w:space="0"/>
              <w:right w:val="single" w:color="auto" w:sz="4" w:space="0"/>
            </w:tcBorders>
            <w:shd w:val="clear" w:color="000000" w:fill="auto"/>
            <w:noWrap/>
            <w:vAlign w:val="center"/>
          </w:tcPr>
          <w:p w14:paraId="57E5C8C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b/>
                <w:bCs/>
                <w:kern w:val="0"/>
                <w:sz w:val="24"/>
                <w:szCs w:val="24"/>
              </w:rPr>
              <w:t>保有量</w:t>
            </w:r>
          </w:p>
        </w:tc>
        <w:tc>
          <w:tcPr>
            <w:tcW w:w="1240" w:type="dxa"/>
            <w:tcBorders>
              <w:top w:val="nil"/>
              <w:left w:val="nil"/>
              <w:bottom w:val="single" w:color="auto" w:sz="12" w:space="0"/>
              <w:right w:val="single" w:color="auto" w:sz="4" w:space="0"/>
            </w:tcBorders>
            <w:shd w:val="clear" w:color="auto" w:fill="auto"/>
            <w:noWrap/>
            <w:vAlign w:val="center"/>
          </w:tcPr>
          <w:p w14:paraId="151EB682">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新增量</w:t>
            </w:r>
          </w:p>
        </w:tc>
        <w:tc>
          <w:tcPr>
            <w:tcW w:w="1240" w:type="dxa"/>
            <w:tcBorders>
              <w:top w:val="nil"/>
              <w:left w:val="nil"/>
              <w:bottom w:val="single" w:color="auto" w:sz="12" w:space="0"/>
            </w:tcBorders>
            <w:shd w:val="clear" w:color="auto" w:fill="auto"/>
            <w:noWrap/>
            <w:vAlign w:val="center"/>
          </w:tcPr>
          <w:p w14:paraId="62BC367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b/>
                <w:bCs/>
                <w:kern w:val="0"/>
                <w:sz w:val="24"/>
                <w:szCs w:val="24"/>
              </w:rPr>
              <w:t>保有量</w:t>
            </w:r>
          </w:p>
        </w:tc>
      </w:tr>
      <w:tr w14:paraId="27AA937E">
        <w:tblPrEx>
          <w:tblCellMar>
            <w:top w:w="0" w:type="dxa"/>
            <w:left w:w="108" w:type="dxa"/>
            <w:bottom w:w="0" w:type="dxa"/>
            <w:right w:w="108" w:type="dxa"/>
          </w:tblCellMar>
        </w:tblPrEx>
        <w:trPr>
          <w:trHeight w:val="90" w:hRule="atLeast"/>
        </w:trPr>
        <w:tc>
          <w:tcPr>
            <w:tcW w:w="784" w:type="dxa"/>
            <w:vMerge w:val="restart"/>
            <w:tcBorders>
              <w:top w:val="single" w:color="auto" w:sz="12" w:space="0"/>
              <w:bottom w:val="single" w:color="000000" w:sz="4" w:space="0"/>
              <w:right w:val="single" w:color="auto" w:sz="4" w:space="0"/>
            </w:tcBorders>
            <w:shd w:val="clear" w:color="auto" w:fill="auto"/>
            <w:noWrap/>
            <w:vAlign w:val="center"/>
          </w:tcPr>
          <w:p w14:paraId="64AC24E5">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大型客车</w:t>
            </w:r>
          </w:p>
        </w:tc>
        <w:tc>
          <w:tcPr>
            <w:tcW w:w="1354" w:type="dxa"/>
            <w:tcBorders>
              <w:top w:val="single" w:color="auto" w:sz="12" w:space="0"/>
              <w:left w:val="nil"/>
              <w:bottom w:val="single" w:color="auto" w:sz="4" w:space="0"/>
              <w:right w:val="single" w:color="auto" w:sz="4" w:space="0"/>
            </w:tcBorders>
            <w:shd w:val="clear" w:color="auto" w:fill="auto"/>
            <w:noWrap/>
            <w:vAlign w:val="center"/>
          </w:tcPr>
          <w:p w14:paraId="177FD0A7">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公交车</w:t>
            </w:r>
          </w:p>
        </w:tc>
        <w:tc>
          <w:tcPr>
            <w:tcW w:w="1134" w:type="dxa"/>
            <w:tcBorders>
              <w:top w:val="single" w:color="auto" w:sz="12" w:space="0"/>
              <w:left w:val="nil"/>
              <w:bottom w:val="single" w:color="auto" w:sz="4" w:space="0"/>
              <w:right w:val="single" w:color="auto" w:sz="4" w:space="0"/>
            </w:tcBorders>
            <w:shd w:val="clear" w:color="auto" w:fill="auto"/>
            <w:noWrap/>
            <w:vAlign w:val="center"/>
          </w:tcPr>
          <w:p w14:paraId="76DFA05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149</w:t>
            </w:r>
          </w:p>
        </w:tc>
        <w:tc>
          <w:tcPr>
            <w:tcW w:w="1134" w:type="dxa"/>
            <w:tcBorders>
              <w:top w:val="single" w:color="auto" w:sz="12" w:space="0"/>
              <w:left w:val="nil"/>
              <w:bottom w:val="single" w:color="auto" w:sz="4" w:space="0"/>
              <w:right w:val="single" w:color="auto" w:sz="4" w:space="0"/>
            </w:tcBorders>
            <w:shd w:val="clear" w:color="auto" w:fill="auto"/>
            <w:noWrap/>
            <w:vAlign w:val="center"/>
          </w:tcPr>
          <w:p w14:paraId="78450FD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200</w:t>
            </w:r>
          </w:p>
        </w:tc>
        <w:tc>
          <w:tcPr>
            <w:tcW w:w="1129" w:type="dxa"/>
            <w:tcBorders>
              <w:top w:val="single" w:color="auto" w:sz="12" w:space="0"/>
              <w:left w:val="nil"/>
              <w:bottom w:val="single" w:color="auto" w:sz="4" w:space="0"/>
              <w:right w:val="single" w:color="auto" w:sz="4" w:space="0"/>
            </w:tcBorders>
            <w:shd w:val="clear" w:color="auto" w:fill="auto"/>
            <w:noWrap/>
            <w:vAlign w:val="center"/>
          </w:tcPr>
          <w:p w14:paraId="7145FA1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300</w:t>
            </w:r>
          </w:p>
        </w:tc>
        <w:tc>
          <w:tcPr>
            <w:tcW w:w="1057" w:type="dxa"/>
            <w:tcBorders>
              <w:top w:val="single" w:color="auto" w:sz="12" w:space="0"/>
              <w:left w:val="nil"/>
              <w:bottom w:val="single" w:color="auto" w:sz="4" w:space="0"/>
              <w:right w:val="single" w:color="auto" w:sz="4" w:space="0"/>
            </w:tcBorders>
            <w:shd w:val="clear" w:color="000000" w:fill="auto"/>
            <w:noWrap/>
            <w:vAlign w:val="center"/>
          </w:tcPr>
          <w:p w14:paraId="0B6157D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500</w:t>
            </w:r>
          </w:p>
        </w:tc>
        <w:tc>
          <w:tcPr>
            <w:tcW w:w="1240" w:type="dxa"/>
            <w:tcBorders>
              <w:top w:val="single" w:color="auto" w:sz="12" w:space="0"/>
              <w:left w:val="nil"/>
              <w:bottom w:val="single" w:color="auto" w:sz="4" w:space="0"/>
              <w:right w:val="single" w:color="auto" w:sz="4" w:space="0"/>
            </w:tcBorders>
            <w:shd w:val="clear" w:color="auto" w:fill="auto"/>
            <w:noWrap/>
            <w:vAlign w:val="center"/>
          </w:tcPr>
          <w:p w14:paraId="606C9E8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500</w:t>
            </w:r>
          </w:p>
        </w:tc>
        <w:tc>
          <w:tcPr>
            <w:tcW w:w="1240" w:type="dxa"/>
            <w:tcBorders>
              <w:top w:val="single" w:color="auto" w:sz="12" w:space="0"/>
              <w:left w:val="nil"/>
              <w:bottom w:val="single" w:color="auto" w:sz="4" w:space="0"/>
            </w:tcBorders>
            <w:shd w:val="clear" w:color="auto" w:fill="auto"/>
            <w:noWrap/>
            <w:vAlign w:val="center"/>
          </w:tcPr>
          <w:p w14:paraId="26E4AE0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1000</w:t>
            </w:r>
          </w:p>
        </w:tc>
      </w:tr>
      <w:tr w14:paraId="693829E3">
        <w:tblPrEx>
          <w:tblCellMar>
            <w:top w:w="0" w:type="dxa"/>
            <w:left w:w="108" w:type="dxa"/>
            <w:bottom w:w="0" w:type="dxa"/>
            <w:right w:w="108" w:type="dxa"/>
          </w:tblCellMar>
        </w:tblPrEx>
        <w:trPr>
          <w:trHeight w:val="285" w:hRule="atLeast"/>
        </w:trPr>
        <w:tc>
          <w:tcPr>
            <w:tcW w:w="784" w:type="dxa"/>
            <w:vMerge w:val="continue"/>
            <w:tcBorders>
              <w:top w:val="nil"/>
              <w:bottom w:val="single" w:color="000000" w:sz="4" w:space="0"/>
              <w:right w:val="single" w:color="auto" w:sz="4" w:space="0"/>
            </w:tcBorders>
            <w:vAlign w:val="center"/>
          </w:tcPr>
          <w:p w14:paraId="79FB0210">
            <w:pPr>
              <w:widowControl/>
              <w:jc w:val="left"/>
              <w:rPr>
                <w:rFonts w:ascii="Times New Roman" w:hAnsi="Times New Roman" w:eastAsia="仿宋_GB2312" w:cs="Times New Roman"/>
                <w:kern w:val="0"/>
                <w:sz w:val="24"/>
                <w:szCs w:val="24"/>
              </w:rPr>
            </w:pPr>
          </w:p>
        </w:tc>
        <w:tc>
          <w:tcPr>
            <w:tcW w:w="1354" w:type="dxa"/>
            <w:tcBorders>
              <w:top w:val="nil"/>
              <w:left w:val="nil"/>
              <w:bottom w:val="single" w:color="auto" w:sz="4" w:space="0"/>
              <w:right w:val="single" w:color="auto" w:sz="4" w:space="0"/>
            </w:tcBorders>
            <w:shd w:val="clear" w:color="auto" w:fill="auto"/>
            <w:noWrap/>
            <w:vAlign w:val="center"/>
          </w:tcPr>
          <w:p w14:paraId="19AF63AF">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长途客车</w:t>
            </w:r>
          </w:p>
        </w:tc>
        <w:tc>
          <w:tcPr>
            <w:tcW w:w="1134" w:type="dxa"/>
            <w:tcBorders>
              <w:top w:val="nil"/>
              <w:left w:val="nil"/>
              <w:bottom w:val="single" w:color="auto" w:sz="4" w:space="0"/>
              <w:right w:val="single" w:color="auto" w:sz="4" w:space="0"/>
            </w:tcBorders>
            <w:shd w:val="clear" w:color="auto" w:fill="auto"/>
            <w:noWrap/>
            <w:vAlign w:val="center"/>
          </w:tcPr>
          <w:p w14:paraId="7742178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w:t>
            </w:r>
          </w:p>
        </w:tc>
        <w:tc>
          <w:tcPr>
            <w:tcW w:w="1134" w:type="dxa"/>
            <w:tcBorders>
              <w:top w:val="nil"/>
              <w:left w:val="nil"/>
              <w:bottom w:val="single" w:color="auto" w:sz="4" w:space="0"/>
              <w:right w:val="single" w:color="auto" w:sz="4" w:space="0"/>
            </w:tcBorders>
            <w:shd w:val="clear" w:color="auto" w:fill="auto"/>
            <w:noWrap/>
            <w:vAlign w:val="center"/>
          </w:tcPr>
          <w:p w14:paraId="3EF3889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w:t>
            </w:r>
          </w:p>
        </w:tc>
        <w:tc>
          <w:tcPr>
            <w:tcW w:w="1129" w:type="dxa"/>
            <w:tcBorders>
              <w:top w:val="nil"/>
              <w:left w:val="nil"/>
              <w:bottom w:val="single" w:color="auto" w:sz="4" w:space="0"/>
              <w:right w:val="single" w:color="auto" w:sz="4" w:space="0"/>
            </w:tcBorders>
            <w:shd w:val="clear" w:color="auto" w:fill="auto"/>
            <w:noWrap/>
            <w:vAlign w:val="center"/>
          </w:tcPr>
          <w:p w14:paraId="0FFBD33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40</w:t>
            </w:r>
          </w:p>
        </w:tc>
        <w:tc>
          <w:tcPr>
            <w:tcW w:w="1057" w:type="dxa"/>
            <w:tcBorders>
              <w:top w:val="nil"/>
              <w:left w:val="nil"/>
              <w:bottom w:val="single" w:color="auto" w:sz="4" w:space="0"/>
              <w:right w:val="single" w:color="auto" w:sz="4" w:space="0"/>
            </w:tcBorders>
            <w:shd w:val="clear" w:color="000000" w:fill="auto"/>
            <w:noWrap/>
            <w:vAlign w:val="center"/>
          </w:tcPr>
          <w:p w14:paraId="586402A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60</w:t>
            </w:r>
          </w:p>
        </w:tc>
        <w:tc>
          <w:tcPr>
            <w:tcW w:w="1240" w:type="dxa"/>
            <w:tcBorders>
              <w:top w:val="nil"/>
              <w:left w:val="nil"/>
              <w:bottom w:val="single" w:color="auto" w:sz="4" w:space="0"/>
              <w:right w:val="single" w:color="auto" w:sz="4" w:space="0"/>
            </w:tcBorders>
            <w:shd w:val="clear" w:color="auto" w:fill="auto"/>
            <w:noWrap/>
            <w:vAlign w:val="center"/>
          </w:tcPr>
          <w:p w14:paraId="4C55EF7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240</w:t>
            </w:r>
          </w:p>
        </w:tc>
        <w:tc>
          <w:tcPr>
            <w:tcW w:w="1240" w:type="dxa"/>
            <w:tcBorders>
              <w:top w:val="nil"/>
              <w:left w:val="nil"/>
              <w:bottom w:val="single" w:color="auto" w:sz="4" w:space="0"/>
            </w:tcBorders>
            <w:shd w:val="clear" w:color="auto" w:fill="auto"/>
            <w:noWrap/>
            <w:vAlign w:val="center"/>
          </w:tcPr>
          <w:p w14:paraId="793837A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300</w:t>
            </w:r>
          </w:p>
        </w:tc>
      </w:tr>
      <w:tr w14:paraId="580BCCF4">
        <w:tblPrEx>
          <w:tblCellMar>
            <w:top w:w="0" w:type="dxa"/>
            <w:left w:w="108" w:type="dxa"/>
            <w:bottom w:w="0" w:type="dxa"/>
            <w:right w:w="108" w:type="dxa"/>
          </w:tblCellMar>
        </w:tblPrEx>
        <w:trPr>
          <w:trHeight w:val="285" w:hRule="atLeast"/>
        </w:trPr>
        <w:tc>
          <w:tcPr>
            <w:tcW w:w="784" w:type="dxa"/>
            <w:vMerge w:val="continue"/>
            <w:tcBorders>
              <w:top w:val="nil"/>
              <w:bottom w:val="single" w:color="000000" w:sz="4" w:space="0"/>
              <w:right w:val="single" w:color="auto" w:sz="4" w:space="0"/>
            </w:tcBorders>
            <w:vAlign w:val="center"/>
          </w:tcPr>
          <w:p w14:paraId="211EF1BE">
            <w:pPr>
              <w:widowControl/>
              <w:jc w:val="left"/>
              <w:rPr>
                <w:rFonts w:ascii="Times New Roman" w:hAnsi="Times New Roman" w:eastAsia="仿宋_GB2312" w:cs="Times New Roman"/>
                <w:kern w:val="0"/>
                <w:sz w:val="24"/>
                <w:szCs w:val="24"/>
              </w:rPr>
            </w:pPr>
          </w:p>
        </w:tc>
        <w:tc>
          <w:tcPr>
            <w:tcW w:w="1354" w:type="dxa"/>
            <w:tcBorders>
              <w:top w:val="nil"/>
              <w:left w:val="nil"/>
              <w:bottom w:val="single" w:color="auto" w:sz="4" w:space="0"/>
              <w:right w:val="single" w:color="auto" w:sz="4" w:space="0"/>
            </w:tcBorders>
            <w:shd w:val="clear" w:color="auto" w:fill="auto"/>
            <w:noWrap/>
            <w:vAlign w:val="center"/>
          </w:tcPr>
          <w:p w14:paraId="652DE84F">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旅游车</w:t>
            </w:r>
          </w:p>
        </w:tc>
        <w:tc>
          <w:tcPr>
            <w:tcW w:w="1134" w:type="dxa"/>
            <w:tcBorders>
              <w:top w:val="nil"/>
              <w:left w:val="nil"/>
              <w:bottom w:val="single" w:color="auto" w:sz="4" w:space="0"/>
              <w:right w:val="single" w:color="auto" w:sz="4" w:space="0"/>
            </w:tcBorders>
            <w:shd w:val="clear" w:color="auto" w:fill="auto"/>
            <w:noWrap/>
            <w:vAlign w:val="center"/>
          </w:tcPr>
          <w:p w14:paraId="06B5397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w:t>
            </w:r>
          </w:p>
        </w:tc>
        <w:tc>
          <w:tcPr>
            <w:tcW w:w="1134" w:type="dxa"/>
            <w:tcBorders>
              <w:top w:val="nil"/>
              <w:left w:val="nil"/>
              <w:bottom w:val="single" w:color="auto" w:sz="4" w:space="0"/>
              <w:right w:val="single" w:color="auto" w:sz="4" w:space="0"/>
            </w:tcBorders>
            <w:shd w:val="clear" w:color="auto" w:fill="auto"/>
            <w:noWrap/>
            <w:vAlign w:val="center"/>
          </w:tcPr>
          <w:p w14:paraId="549302A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w:t>
            </w:r>
          </w:p>
        </w:tc>
        <w:tc>
          <w:tcPr>
            <w:tcW w:w="1129" w:type="dxa"/>
            <w:tcBorders>
              <w:top w:val="nil"/>
              <w:left w:val="nil"/>
              <w:bottom w:val="single" w:color="auto" w:sz="4" w:space="0"/>
              <w:right w:val="single" w:color="auto" w:sz="4" w:space="0"/>
            </w:tcBorders>
            <w:shd w:val="clear" w:color="auto" w:fill="auto"/>
            <w:noWrap/>
            <w:vAlign w:val="center"/>
          </w:tcPr>
          <w:p w14:paraId="55FAB42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150</w:t>
            </w:r>
          </w:p>
        </w:tc>
        <w:tc>
          <w:tcPr>
            <w:tcW w:w="1057" w:type="dxa"/>
            <w:tcBorders>
              <w:top w:val="nil"/>
              <w:left w:val="nil"/>
              <w:bottom w:val="single" w:color="auto" w:sz="4" w:space="0"/>
              <w:right w:val="single" w:color="auto" w:sz="4" w:space="0"/>
            </w:tcBorders>
            <w:shd w:val="clear" w:color="000000" w:fill="auto"/>
            <w:noWrap/>
            <w:vAlign w:val="center"/>
          </w:tcPr>
          <w:p w14:paraId="42C497B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170</w:t>
            </w:r>
          </w:p>
        </w:tc>
        <w:tc>
          <w:tcPr>
            <w:tcW w:w="1240" w:type="dxa"/>
            <w:tcBorders>
              <w:top w:val="nil"/>
              <w:left w:val="nil"/>
              <w:bottom w:val="single" w:color="auto" w:sz="4" w:space="0"/>
              <w:right w:val="single" w:color="auto" w:sz="4" w:space="0"/>
            </w:tcBorders>
            <w:shd w:val="clear" w:color="auto" w:fill="auto"/>
            <w:noWrap/>
            <w:vAlign w:val="center"/>
          </w:tcPr>
          <w:p w14:paraId="22966DC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300</w:t>
            </w:r>
          </w:p>
        </w:tc>
        <w:tc>
          <w:tcPr>
            <w:tcW w:w="1240" w:type="dxa"/>
            <w:tcBorders>
              <w:top w:val="nil"/>
              <w:left w:val="nil"/>
              <w:bottom w:val="single" w:color="auto" w:sz="4" w:space="0"/>
            </w:tcBorders>
            <w:shd w:val="clear" w:color="auto" w:fill="auto"/>
            <w:noWrap/>
            <w:vAlign w:val="center"/>
          </w:tcPr>
          <w:p w14:paraId="7735BDF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470</w:t>
            </w:r>
          </w:p>
        </w:tc>
      </w:tr>
      <w:tr w14:paraId="07477F3D">
        <w:tblPrEx>
          <w:tblCellMar>
            <w:top w:w="0" w:type="dxa"/>
            <w:left w:w="108" w:type="dxa"/>
            <w:bottom w:w="0" w:type="dxa"/>
            <w:right w:w="108" w:type="dxa"/>
          </w:tblCellMar>
        </w:tblPrEx>
        <w:trPr>
          <w:trHeight w:val="90" w:hRule="atLeast"/>
        </w:trPr>
        <w:tc>
          <w:tcPr>
            <w:tcW w:w="784" w:type="dxa"/>
            <w:vMerge w:val="continue"/>
            <w:tcBorders>
              <w:top w:val="nil"/>
              <w:bottom w:val="single" w:color="000000" w:sz="4" w:space="0"/>
              <w:right w:val="single" w:color="auto" w:sz="4" w:space="0"/>
            </w:tcBorders>
            <w:vAlign w:val="center"/>
          </w:tcPr>
          <w:p w14:paraId="3F4CE396">
            <w:pPr>
              <w:widowControl/>
              <w:jc w:val="left"/>
              <w:rPr>
                <w:rFonts w:ascii="Times New Roman" w:hAnsi="Times New Roman" w:eastAsia="仿宋_GB2312" w:cs="Times New Roman"/>
                <w:kern w:val="0"/>
                <w:sz w:val="24"/>
                <w:szCs w:val="24"/>
              </w:rPr>
            </w:pPr>
          </w:p>
        </w:tc>
        <w:tc>
          <w:tcPr>
            <w:tcW w:w="1354" w:type="dxa"/>
            <w:tcBorders>
              <w:top w:val="nil"/>
              <w:left w:val="nil"/>
              <w:bottom w:val="single" w:color="auto" w:sz="4" w:space="0"/>
              <w:right w:val="single" w:color="auto" w:sz="4" w:space="0"/>
            </w:tcBorders>
            <w:shd w:val="clear" w:color="auto" w:fill="auto"/>
            <w:noWrap/>
            <w:vAlign w:val="center"/>
          </w:tcPr>
          <w:p w14:paraId="09C23317">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政府企业</w:t>
            </w:r>
          </w:p>
        </w:tc>
        <w:tc>
          <w:tcPr>
            <w:tcW w:w="1134" w:type="dxa"/>
            <w:tcBorders>
              <w:top w:val="nil"/>
              <w:left w:val="nil"/>
              <w:bottom w:val="single" w:color="auto" w:sz="4" w:space="0"/>
              <w:right w:val="single" w:color="auto" w:sz="4" w:space="0"/>
            </w:tcBorders>
            <w:shd w:val="clear" w:color="auto" w:fill="auto"/>
            <w:noWrap/>
            <w:vAlign w:val="center"/>
          </w:tcPr>
          <w:p w14:paraId="1B55862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w:t>
            </w:r>
          </w:p>
        </w:tc>
        <w:tc>
          <w:tcPr>
            <w:tcW w:w="1134" w:type="dxa"/>
            <w:tcBorders>
              <w:top w:val="nil"/>
              <w:left w:val="nil"/>
              <w:bottom w:val="single" w:color="auto" w:sz="4" w:space="0"/>
              <w:right w:val="single" w:color="auto" w:sz="4" w:space="0"/>
            </w:tcBorders>
            <w:shd w:val="clear" w:color="auto" w:fill="auto"/>
            <w:noWrap/>
            <w:vAlign w:val="center"/>
          </w:tcPr>
          <w:p w14:paraId="07B48D4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w:t>
            </w:r>
          </w:p>
        </w:tc>
        <w:tc>
          <w:tcPr>
            <w:tcW w:w="1129" w:type="dxa"/>
            <w:tcBorders>
              <w:top w:val="nil"/>
              <w:left w:val="nil"/>
              <w:bottom w:val="single" w:color="auto" w:sz="4" w:space="0"/>
              <w:right w:val="single" w:color="auto" w:sz="4" w:space="0"/>
            </w:tcBorders>
            <w:shd w:val="clear" w:color="auto" w:fill="auto"/>
            <w:noWrap/>
            <w:vAlign w:val="center"/>
          </w:tcPr>
          <w:p w14:paraId="289547F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w:t>
            </w:r>
          </w:p>
        </w:tc>
        <w:tc>
          <w:tcPr>
            <w:tcW w:w="1057" w:type="dxa"/>
            <w:tcBorders>
              <w:top w:val="nil"/>
              <w:left w:val="nil"/>
              <w:bottom w:val="single" w:color="auto" w:sz="4" w:space="0"/>
              <w:right w:val="single" w:color="auto" w:sz="4" w:space="0"/>
            </w:tcBorders>
            <w:shd w:val="clear" w:color="000000" w:fill="auto"/>
            <w:noWrap/>
            <w:vAlign w:val="center"/>
          </w:tcPr>
          <w:p w14:paraId="3727B98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60</w:t>
            </w:r>
          </w:p>
        </w:tc>
        <w:tc>
          <w:tcPr>
            <w:tcW w:w="1240" w:type="dxa"/>
            <w:tcBorders>
              <w:top w:val="nil"/>
              <w:left w:val="nil"/>
              <w:bottom w:val="single" w:color="auto" w:sz="4" w:space="0"/>
              <w:right w:val="single" w:color="auto" w:sz="4" w:space="0"/>
            </w:tcBorders>
            <w:shd w:val="clear" w:color="auto" w:fill="auto"/>
            <w:noWrap/>
            <w:vAlign w:val="center"/>
          </w:tcPr>
          <w:p w14:paraId="5696331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500</w:t>
            </w:r>
          </w:p>
        </w:tc>
        <w:tc>
          <w:tcPr>
            <w:tcW w:w="1240" w:type="dxa"/>
            <w:tcBorders>
              <w:top w:val="nil"/>
              <w:left w:val="nil"/>
              <w:bottom w:val="single" w:color="auto" w:sz="4" w:space="0"/>
            </w:tcBorders>
            <w:shd w:val="clear" w:color="auto" w:fill="auto"/>
            <w:noWrap/>
            <w:vAlign w:val="center"/>
          </w:tcPr>
          <w:p w14:paraId="40C0DE2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560</w:t>
            </w:r>
          </w:p>
        </w:tc>
      </w:tr>
      <w:tr w14:paraId="1DB2BDA6">
        <w:tblPrEx>
          <w:tblCellMar>
            <w:top w:w="0" w:type="dxa"/>
            <w:left w:w="108" w:type="dxa"/>
            <w:bottom w:w="0" w:type="dxa"/>
            <w:right w:w="108" w:type="dxa"/>
          </w:tblCellMar>
        </w:tblPrEx>
        <w:trPr>
          <w:trHeight w:val="375" w:hRule="atLeast"/>
        </w:trPr>
        <w:tc>
          <w:tcPr>
            <w:tcW w:w="2138" w:type="dxa"/>
            <w:gridSpan w:val="2"/>
            <w:tcBorders>
              <w:top w:val="single" w:color="auto" w:sz="4" w:space="0"/>
              <w:bottom w:val="single" w:color="auto" w:sz="12" w:space="0"/>
              <w:right w:val="single" w:color="000000" w:sz="4" w:space="0"/>
            </w:tcBorders>
            <w:shd w:val="clear" w:color="auto" w:fill="auto"/>
            <w:noWrap/>
            <w:vAlign w:val="center"/>
          </w:tcPr>
          <w:p w14:paraId="55963778">
            <w:pPr>
              <w:widowControl/>
              <w:jc w:val="left"/>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大型客车合计</w:t>
            </w:r>
          </w:p>
        </w:tc>
        <w:tc>
          <w:tcPr>
            <w:tcW w:w="1134" w:type="dxa"/>
            <w:tcBorders>
              <w:top w:val="nil"/>
              <w:left w:val="nil"/>
              <w:bottom w:val="single" w:color="auto" w:sz="12" w:space="0"/>
              <w:right w:val="single" w:color="auto" w:sz="4" w:space="0"/>
            </w:tcBorders>
            <w:shd w:val="clear" w:color="auto" w:fill="auto"/>
            <w:noWrap/>
            <w:vAlign w:val="center"/>
          </w:tcPr>
          <w:p w14:paraId="7723AFA7">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199</w:t>
            </w:r>
          </w:p>
        </w:tc>
        <w:tc>
          <w:tcPr>
            <w:tcW w:w="1134" w:type="dxa"/>
            <w:tcBorders>
              <w:top w:val="nil"/>
              <w:left w:val="nil"/>
              <w:bottom w:val="single" w:color="auto" w:sz="12" w:space="0"/>
              <w:right w:val="single" w:color="auto" w:sz="4" w:space="0"/>
            </w:tcBorders>
            <w:shd w:val="clear" w:color="auto" w:fill="auto"/>
            <w:noWrap/>
            <w:vAlign w:val="center"/>
          </w:tcPr>
          <w:p w14:paraId="303DCA67">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250</w:t>
            </w:r>
          </w:p>
        </w:tc>
        <w:tc>
          <w:tcPr>
            <w:tcW w:w="1129" w:type="dxa"/>
            <w:tcBorders>
              <w:top w:val="nil"/>
              <w:left w:val="nil"/>
              <w:bottom w:val="single" w:color="auto" w:sz="12" w:space="0"/>
              <w:right w:val="single" w:color="auto" w:sz="4" w:space="0"/>
            </w:tcBorders>
            <w:shd w:val="clear" w:color="auto" w:fill="auto"/>
            <w:noWrap/>
            <w:vAlign w:val="center"/>
          </w:tcPr>
          <w:p w14:paraId="6F5071BC">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540</w:t>
            </w:r>
          </w:p>
        </w:tc>
        <w:tc>
          <w:tcPr>
            <w:tcW w:w="1057" w:type="dxa"/>
            <w:tcBorders>
              <w:top w:val="nil"/>
              <w:left w:val="nil"/>
              <w:bottom w:val="single" w:color="auto" w:sz="12" w:space="0"/>
              <w:right w:val="single" w:color="auto" w:sz="4" w:space="0"/>
            </w:tcBorders>
            <w:shd w:val="clear" w:color="000000" w:fill="auto"/>
            <w:noWrap/>
            <w:vAlign w:val="center"/>
          </w:tcPr>
          <w:p w14:paraId="37E1813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b/>
                <w:bCs/>
                <w:kern w:val="0"/>
                <w:sz w:val="24"/>
                <w:szCs w:val="24"/>
              </w:rPr>
              <w:t>790</w:t>
            </w:r>
          </w:p>
        </w:tc>
        <w:tc>
          <w:tcPr>
            <w:tcW w:w="1240" w:type="dxa"/>
            <w:tcBorders>
              <w:top w:val="nil"/>
              <w:left w:val="nil"/>
              <w:bottom w:val="single" w:color="auto" w:sz="12" w:space="0"/>
              <w:right w:val="single" w:color="auto" w:sz="4" w:space="0"/>
            </w:tcBorders>
            <w:shd w:val="clear" w:color="auto" w:fill="auto"/>
            <w:noWrap/>
            <w:vAlign w:val="center"/>
          </w:tcPr>
          <w:p w14:paraId="7648D59C">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1540</w:t>
            </w:r>
          </w:p>
        </w:tc>
        <w:tc>
          <w:tcPr>
            <w:tcW w:w="1240" w:type="dxa"/>
            <w:tcBorders>
              <w:top w:val="nil"/>
              <w:left w:val="nil"/>
              <w:bottom w:val="single" w:color="auto" w:sz="12" w:space="0"/>
            </w:tcBorders>
            <w:shd w:val="clear" w:color="auto" w:fill="auto"/>
            <w:noWrap/>
            <w:vAlign w:val="center"/>
          </w:tcPr>
          <w:p w14:paraId="44250890">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2330</w:t>
            </w:r>
          </w:p>
        </w:tc>
      </w:tr>
      <w:tr w14:paraId="6AC2BAE4">
        <w:tblPrEx>
          <w:tblCellMar>
            <w:top w:w="0" w:type="dxa"/>
            <w:left w:w="108" w:type="dxa"/>
            <w:bottom w:w="0" w:type="dxa"/>
            <w:right w:w="108" w:type="dxa"/>
          </w:tblCellMar>
        </w:tblPrEx>
        <w:trPr>
          <w:trHeight w:val="285" w:hRule="atLeast"/>
        </w:trPr>
        <w:tc>
          <w:tcPr>
            <w:tcW w:w="784" w:type="dxa"/>
            <w:tcBorders>
              <w:top w:val="nil"/>
              <w:bottom w:val="single" w:color="000000" w:sz="4" w:space="0"/>
              <w:right w:val="single" w:color="auto" w:sz="4" w:space="0"/>
            </w:tcBorders>
            <w:vAlign w:val="center"/>
          </w:tcPr>
          <w:p w14:paraId="7CDFB7D3">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中型客车</w:t>
            </w:r>
          </w:p>
        </w:tc>
        <w:tc>
          <w:tcPr>
            <w:tcW w:w="1354" w:type="dxa"/>
            <w:tcBorders>
              <w:top w:val="nil"/>
              <w:left w:val="nil"/>
              <w:bottom w:val="single" w:color="auto" w:sz="4" w:space="0"/>
              <w:right w:val="single" w:color="auto" w:sz="4" w:space="0"/>
            </w:tcBorders>
            <w:shd w:val="clear" w:color="auto" w:fill="auto"/>
            <w:noWrap/>
            <w:vAlign w:val="center"/>
          </w:tcPr>
          <w:p w14:paraId="52D34BF3">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政府、企业</w:t>
            </w:r>
          </w:p>
        </w:tc>
        <w:tc>
          <w:tcPr>
            <w:tcW w:w="1134" w:type="dxa"/>
            <w:tcBorders>
              <w:top w:val="nil"/>
              <w:left w:val="nil"/>
              <w:bottom w:val="single" w:color="auto" w:sz="4" w:space="0"/>
              <w:right w:val="single" w:color="auto" w:sz="4" w:space="0"/>
            </w:tcBorders>
            <w:shd w:val="clear" w:color="auto" w:fill="auto"/>
            <w:noWrap/>
            <w:vAlign w:val="center"/>
          </w:tcPr>
          <w:p w14:paraId="09F6BAC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30</w:t>
            </w:r>
          </w:p>
        </w:tc>
        <w:tc>
          <w:tcPr>
            <w:tcW w:w="1134" w:type="dxa"/>
            <w:tcBorders>
              <w:top w:val="nil"/>
              <w:left w:val="nil"/>
              <w:bottom w:val="single" w:color="auto" w:sz="4" w:space="0"/>
              <w:right w:val="single" w:color="auto" w:sz="4" w:space="0"/>
            </w:tcBorders>
            <w:shd w:val="clear" w:color="auto" w:fill="auto"/>
            <w:noWrap/>
            <w:vAlign w:val="center"/>
          </w:tcPr>
          <w:p w14:paraId="00F559D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30</w:t>
            </w:r>
          </w:p>
        </w:tc>
        <w:tc>
          <w:tcPr>
            <w:tcW w:w="1129" w:type="dxa"/>
            <w:tcBorders>
              <w:top w:val="nil"/>
              <w:left w:val="nil"/>
              <w:bottom w:val="single" w:color="auto" w:sz="4" w:space="0"/>
              <w:right w:val="single" w:color="auto" w:sz="4" w:space="0"/>
            </w:tcBorders>
            <w:shd w:val="clear" w:color="auto" w:fill="auto"/>
            <w:noWrap/>
            <w:vAlign w:val="center"/>
          </w:tcPr>
          <w:p w14:paraId="0E34EE5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w:t>
            </w:r>
          </w:p>
        </w:tc>
        <w:tc>
          <w:tcPr>
            <w:tcW w:w="1057" w:type="dxa"/>
            <w:tcBorders>
              <w:top w:val="nil"/>
              <w:left w:val="nil"/>
              <w:bottom w:val="single" w:color="auto" w:sz="4" w:space="0"/>
              <w:right w:val="single" w:color="auto" w:sz="4" w:space="0"/>
            </w:tcBorders>
            <w:shd w:val="clear" w:color="000000" w:fill="auto"/>
            <w:noWrap/>
            <w:vAlign w:val="center"/>
          </w:tcPr>
          <w:p w14:paraId="6C81D5E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80</w:t>
            </w:r>
          </w:p>
        </w:tc>
        <w:tc>
          <w:tcPr>
            <w:tcW w:w="1240" w:type="dxa"/>
            <w:tcBorders>
              <w:top w:val="nil"/>
              <w:left w:val="nil"/>
              <w:bottom w:val="single" w:color="auto" w:sz="4" w:space="0"/>
              <w:right w:val="single" w:color="auto" w:sz="4" w:space="0"/>
            </w:tcBorders>
            <w:shd w:val="clear" w:color="auto" w:fill="auto"/>
            <w:noWrap/>
            <w:vAlign w:val="center"/>
          </w:tcPr>
          <w:p w14:paraId="13CD720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120</w:t>
            </w:r>
          </w:p>
        </w:tc>
        <w:tc>
          <w:tcPr>
            <w:tcW w:w="1240" w:type="dxa"/>
            <w:tcBorders>
              <w:top w:val="nil"/>
              <w:left w:val="nil"/>
              <w:bottom w:val="single" w:color="auto" w:sz="4" w:space="0"/>
            </w:tcBorders>
            <w:shd w:val="clear" w:color="auto" w:fill="auto"/>
            <w:noWrap/>
            <w:vAlign w:val="center"/>
          </w:tcPr>
          <w:p w14:paraId="76029FD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200</w:t>
            </w:r>
          </w:p>
        </w:tc>
      </w:tr>
      <w:tr w14:paraId="46D2DE5D">
        <w:tblPrEx>
          <w:tblCellMar>
            <w:top w:w="0" w:type="dxa"/>
            <w:left w:w="108" w:type="dxa"/>
            <w:bottom w:w="0" w:type="dxa"/>
            <w:right w:w="108" w:type="dxa"/>
          </w:tblCellMar>
        </w:tblPrEx>
        <w:trPr>
          <w:trHeight w:val="375" w:hRule="atLeast"/>
        </w:trPr>
        <w:tc>
          <w:tcPr>
            <w:tcW w:w="2138" w:type="dxa"/>
            <w:gridSpan w:val="2"/>
            <w:tcBorders>
              <w:top w:val="single" w:color="auto" w:sz="4" w:space="0"/>
              <w:bottom w:val="single" w:color="auto" w:sz="4" w:space="0"/>
              <w:right w:val="single" w:color="000000" w:sz="4" w:space="0"/>
            </w:tcBorders>
            <w:shd w:val="clear" w:color="auto" w:fill="auto"/>
            <w:noWrap/>
            <w:vAlign w:val="center"/>
          </w:tcPr>
          <w:p w14:paraId="49220964">
            <w:pPr>
              <w:widowControl/>
              <w:jc w:val="left"/>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中型客车合计</w:t>
            </w:r>
          </w:p>
        </w:tc>
        <w:tc>
          <w:tcPr>
            <w:tcW w:w="1134" w:type="dxa"/>
            <w:tcBorders>
              <w:top w:val="nil"/>
              <w:left w:val="nil"/>
              <w:bottom w:val="single" w:color="auto" w:sz="4" w:space="0"/>
              <w:right w:val="single" w:color="auto" w:sz="4" w:space="0"/>
            </w:tcBorders>
            <w:shd w:val="clear" w:color="auto" w:fill="auto"/>
            <w:noWrap/>
            <w:vAlign w:val="center"/>
          </w:tcPr>
          <w:p w14:paraId="1D63BA5C">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30</w:t>
            </w:r>
          </w:p>
        </w:tc>
        <w:tc>
          <w:tcPr>
            <w:tcW w:w="1134" w:type="dxa"/>
            <w:tcBorders>
              <w:top w:val="nil"/>
              <w:left w:val="nil"/>
              <w:bottom w:val="single" w:color="auto" w:sz="4" w:space="0"/>
              <w:right w:val="single" w:color="auto" w:sz="4" w:space="0"/>
            </w:tcBorders>
            <w:shd w:val="clear" w:color="auto" w:fill="auto"/>
            <w:noWrap/>
            <w:vAlign w:val="center"/>
          </w:tcPr>
          <w:p w14:paraId="2AB08BBD">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30</w:t>
            </w:r>
          </w:p>
        </w:tc>
        <w:tc>
          <w:tcPr>
            <w:tcW w:w="1129" w:type="dxa"/>
            <w:tcBorders>
              <w:top w:val="nil"/>
              <w:left w:val="nil"/>
              <w:bottom w:val="single" w:color="auto" w:sz="4" w:space="0"/>
              <w:right w:val="single" w:color="auto" w:sz="4" w:space="0"/>
            </w:tcBorders>
            <w:shd w:val="clear" w:color="auto" w:fill="auto"/>
            <w:noWrap/>
            <w:vAlign w:val="center"/>
          </w:tcPr>
          <w:p w14:paraId="23C2ACCD">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50</w:t>
            </w:r>
          </w:p>
        </w:tc>
        <w:tc>
          <w:tcPr>
            <w:tcW w:w="1057" w:type="dxa"/>
            <w:tcBorders>
              <w:top w:val="nil"/>
              <w:left w:val="nil"/>
              <w:bottom w:val="single" w:color="auto" w:sz="4" w:space="0"/>
              <w:right w:val="single" w:color="auto" w:sz="4" w:space="0"/>
            </w:tcBorders>
            <w:shd w:val="clear" w:color="000000" w:fill="auto"/>
            <w:noWrap/>
            <w:vAlign w:val="center"/>
          </w:tcPr>
          <w:p w14:paraId="0D26391B">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80</w:t>
            </w:r>
          </w:p>
        </w:tc>
        <w:tc>
          <w:tcPr>
            <w:tcW w:w="1240" w:type="dxa"/>
            <w:tcBorders>
              <w:top w:val="nil"/>
              <w:left w:val="nil"/>
              <w:bottom w:val="single" w:color="auto" w:sz="4" w:space="0"/>
              <w:right w:val="single" w:color="auto" w:sz="4" w:space="0"/>
            </w:tcBorders>
            <w:shd w:val="clear" w:color="auto" w:fill="auto"/>
            <w:noWrap/>
            <w:vAlign w:val="center"/>
          </w:tcPr>
          <w:p w14:paraId="4C2E0F02">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120</w:t>
            </w:r>
          </w:p>
        </w:tc>
        <w:tc>
          <w:tcPr>
            <w:tcW w:w="1240" w:type="dxa"/>
            <w:tcBorders>
              <w:top w:val="nil"/>
              <w:left w:val="nil"/>
              <w:bottom w:val="single" w:color="auto" w:sz="4" w:space="0"/>
            </w:tcBorders>
            <w:shd w:val="clear" w:color="auto" w:fill="auto"/>
            <w:noWrap/>
            <w:vAlign w:val="center"/>
          </w:tcPr>
          <w:p w14:paraId="447A3566">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200</w:t>
            </w:r>
          </w:p>
        </w:tc>
      </w:tr>
      <w:tr w14:paraId="15226731">
        <w:tblPrEx>
          <w:tblCellMar>
            <w:top w:w="0" w:type="dxa"/>
            <w:left w:w="108" w:type="dxa"/>
            <w:bottom w:w="0" w:type="dxa"/>
            <w:right w:w="108" w:type="dxa"/>
          </w:tblCellMar>
        </w:tblPrEx>
        <w:trPr>
          <w:trHeight w:val="90" w:hRule="atLeast"/>
        </w:trPr>
        <w:tc>
          <w:tcPr>
            <w:tcW w:w="784" w:type="dxa"/>
            <w:vMerge w:val="restart"/>
            <w:tcBorders>
              <w:top w:val="nil"/>
              <w:bottom w:val="single" w:color="000000" w:sz="4" w:space="0"/>
              <w:right w:val="single" w:color="auto" w:sz="4" w:space="0"/>
            </w:tcBorders>
            <w:shd w:val="clear" w:color="auto" w:fill="auto"/>
            <w:noWrap/>
            <w:vAlign w:val="center"/>
          </w:tcPr>
          <w:p w14:paraId="120AC308">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小型客车</w:t>
            </w:r>
          </w:p>
        </w:tc>
        <w:tc>
          <w:tcPr>
            <w:tcW w:w="1354" w:type="dxa"/>
            <w:tcBorders>
              <w:top w:val="nil"/>
              <w:left w:val="nil"/>
              <w:bottom w:val="single" w:color="auto" w:sz="4" w:space="0"/>
              <w:right w:val="single" w:color="auto" w:sz="4" w:space="0"/>
            </w:tcBorders>
            <w:shd w:val="clear" w:color="auto" w:fill="auto"/>
            <w:noWrap/>
            <w:vAlign w:val="center"/>
          </w:tcPr>
          <w:p w14:paraId="02E01C25">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出租车</w:t>
            </w:r>
          </w:p>
        </w:tc>
        <w:tc>
          <w:tcPr>
            <w:tcW w:w="1134" w:type="dxa"/>
            <w:tcBorders>
              <w:top w:val="nil"/>
              <w:left w:val="nil"/>
              <w:bottom w:val="single" w:color="auto" w:sz="4" w:space="0"/>
              <w:right w:val="single" w:color="auto" w:sz="4" w:space="0"/>
            </w:tcBorders>
            <w:shd w:val="clear" w:color="auto" w:fill="auto"/>
            <w:noWrap/>
            <w:vAlign w:val="center"/>
          </w:tcPr>
          <w:p w14:paraId="215482D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w:t>
            </w:r>
          </w:p>
        </w:tc>
        <w:tc>
          <w:tcPr>
            <w:tcW w:w="1134" w:type="dxa"/>
            <w:tcBorders>
              <w:top w:val="nil"/>
              <w:left w:val="nil"/>
              <w:bottom w:val="single" w:color="auto" w:sz="4" w:space="0"/>
              <w:right w:val="single" w:color="auto" w:sz="4" w:space="0"/>
            </w:tcBorders>
            <w:shd w:val="clear" w:color="auto" w:fill="auto"/>
            <w:noWrap/>
            <w:vAlign w:val="center"/>
          </w:tcPr>
          <w:p w14:paraId="7A61B1A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w:t>
            </w:r>
          </w:p>
        </w:tc>
        <w:tc>
          <w:tcPr>
            <w:tcW w:w="1129" w:type="dxa"/>
            <w:tcBorders>
              <w:top w:val="nil"/>
              <w:left w:val="nil"/>
              <w:bottom w:val="single" w:color="auto" w:sz="4" w:space="0"/>
              <w:right w:val="single" w:color="auto" w:sz="4" w:space="0"/>
            </w:tcBorders>
            <w:shd w:val="clear" w:color="auto" w:fill="auto"/>
            <w:noWrap/>
            <w:vAlign w:val="center"/>
          </w:tcPr>
          <w:p w14:paraId="7D7CFE3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490</w:t>
            </w:r>
          </w:p>
        </w:tc>
        <w:tc>
          <w:tcPr>
            <w:tcW w:w="1057" w:type="dxa"/>
            <w:tcBorders>
              <w:top w:val="nil"/>
              <w:left w:val="nil"/>
              <w:bottom w:val="single" w:color="auto" w:sz="4" w:space="0"/>
              <w:right w:val="single" w:color="auto" w:sz="4" w:space="0"/>
            </w:tcBorders>
            <w:shd w:val="clear" w:color="000000" w:fill="auto"/>
            <w:noWrap/>
            <w:vAlign w:val="center"/>
          </w:tcPr>
          <w:p w14:paraId="08A82F4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500</w:t>
            </w:r>
          </w:p>
        </w:tc>
        <w:tc>
          <w:tcPr>
            <w:tcW w:w="1240" w:type="dxa"/>
            <w:tcBorders>
              <w:top w:val="nil"/>
              <w:left w:val="nil"/>
              <w:bottom w:val="single" w:color="auto" w:sz="4" w:space="0"/>
              <w:right w:val="single" w:color="auto" w:sz="4" w:space="0"/>
            </w:tcBorders>
            <w:shd w:val="clear" w:color="auto" w:fill="auto"/>
            <w:noWrap/>
            <w:vAlign w:val="center"/>
          </w:tcPr>
          <w:p w14:paraId="0C39831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2100</w:t>
            </w:r>
          </w:p>
        </w:tc>
        <w:tc>
          <w:tcPr>
            <w:tcW w:w="1240" w:type="dxa"/>
            <w:tcBorders>
              <w:top w:val="nil"/>
              <w:left w:val="nil"/>
              <w:bottom w:val="single" w:color="auto" w:sz="4" w:space="0"/>
            </w:tcBorders>
            <w:shd w:val="clear" w:color="auto" w:fill="auto"/>
            <w:noWrap/>
            <w:vAlign w:val="center"/>
          </w:tcPr>
          <w:p w14:paraId="50F72F9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2600</w:t>
            </w:r>
          </w:p>
        </w:tc>
      </w:tr>
      <w:tr w14:paraId="5A861938">
        <w:tblPrEx>
          <w:tblCellMar>
            <w:top w:w="0" w:type="dxa"/>
            <w:left w:w="108" w:type="dxa"/>
            <w:bottom w:w="0" w:type="dxa"/>
            <w:right w:w="108" w:type="dxa"/>
          </w:tblCellMar>
        </w:tblPrEx>
        <w:trPr>
          <w:trHeight w:val="285" w:hRule="atLeast"/>
        </w:trPr>
        <w:tc>
          <w:tcPr>
            <w:tcW w:w="784" w:type="dxa"/>
            <w:vMerge w:val="continue"/>
            <w:tcBorders>
              <w:top w:val="nil"/>
              <w:bottom w:val="single" w:color="000000" w:sz="4" w:space="0"/>
              <w:right w:val="single" w:color="auto" w:sz="4" w:space="0"/>
            </w:tcBorders>
            <w:vAlign w:val="center"/>
          </w:tcPr>
          <w:p w14:paraId="2BBEABFF">
            <w:pPr>
              <w:widowControl/>
              <w:jc w:val="left"/>
              <w:rPr>
                <w:rFonts w:ascii="Times New Roman" w:hAnsi="Times New Roman" w:eastAsia="仿宋_GB2312" w:cs="Times New Roman"/>
                <w:kern w:val="0"/>
                <w:sz w:val="24"/>
                <w:szCs w:val="24"/>
              </w:rPr>
            </w:pPr>
          </w:p>
        </w:tc>
        <w:tc>
          <w:tcPr>
            <w:tcW w:w="1354" w:type="dxa"/>
            <w:tcBorders>
              <w:top w:val="nil"/>
              <w:left w:val="nil"/>
              <w:bottom w:val="single" w:color="auto" w:sz="4" w:space="0"/>
              <w:right w:val="single" w:color="auto" w:sz="4" w:space="0"/>
            </w:tcBorders>
            <w:shd w:val="clear" w:color="auto" w:fill="auto"/>
            <w:noWrap/>
            <w:vAlign w:val="center"/>
          </w:tcPr>
          <w:p w14:paraId="554207C9">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私家车</w:t>
            </w:r>
          </w:p>
        </w:tc>
        <w:tc>
          <w:tcPr>
            <w:tcW w:w="1134" w:type="dxa"/>
            <w:tcBorders>
              <w:top w:val="nil"/>
              <w:left w:val="nil"/>
              <w:bottom w:val="single" w:color="auto" w:sz="4" w:space="0"/>
              <w:right w:val="single" w:color="auto" w:sz="4" w:space="0"/>
            </w:tcBorders>
            <w:shd w:val="clear" w:color="auto" w:fill="auto"/>
            <w:noWrap/>
            <w:vAlign w:val="center"/>
          </w:tcPr>
          <w:p w14:paraId="36FE2DD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w:t>
            </w:r>
          </w:p>
        </w:tc>
        <w:tc>
          <w:tcPr>
            <w:tcW w:w="1134" w:type="dxa"/>
            <w:tcBorders>
              <w:top w:val="nil"/>
              <w:left w:val="nil"/>
              <w:bottom w:val="single" w:color="auto" w:sz="4" w:space="0"/>
              <w:right w:val="single" w:color="auto" w:sz="4" w:space="0"/>
            </w:tcBorders>
            <w:shd w:val="clear" w:color="auto" w:fill="auto"/>
            <w:noWrap/>
            <w:vAlign w:val="center"/>
          </w:tcPr>
          <w:p w14:paraId="2ECFBA2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w:t>
            </w:r>
          </w:p>
        </w:tc>
        <w:tc>
          <w:tcPr>
            <w:tcW w:w="1129" w:type="dxa"/>
            <w:tcBorders>
              <w:top w:val="nil"/>
              <w:left w:val="nil"/>
              <w:bottom w:val="single" w:color="auto" w:sz="4" w:space="0"/>
              <w:right w:val="single" w:color="auto" w:sz="4" w:space="0"/>
            </w:tcBorders>
            <w:shd w:val="clear" w:color="auto" w:fill="auto"/>
            <w:noWrap/>
            <w:vAlign w:val="center"/>
          </w:tcPr>
          <w:p w14:paraId="1650788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w:t>
            </w:r>
          </w:p>
        </w:tc>
        <w:tc>
          <w:tcPr>
            <w:tcW w:w="1057" w:type="dxa"/>
            <w:tcBorders>
              <w:top w:val="nil"/>
              <w:left w:val="nil"/>
              <w:bottom w:val="single" w:color="auto" w:sz="4" w:space="0"/>
              <w:right w:val="single" w:color="auto" w:sz="4" w:space="0"/>
            </w:tcBorders>
            <w:shd w:val="clear" w:color="000000" w:fill="auto"/>
            <w:noWrap/>
            <w:vAlign w:val="center"/>
          </w:tcPr>
          <w:p w14:paraId="75C6A33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w:t>
            </w:r>
          </w:p>
        </w:tc>
        <w:tc>
          <w:tcPr>
            <w:tcW w:w="1240" w:type="dxa"/>
            <w:tcBorders>
              <w:top w:val="nil"/>
              <w:left w:val="nil"/>
              <w:bottom w:val="single" w:color="auto" w:sz="4" w:space="0"/>
              <w:right w:val="single" w:color="auto" w:sz="4" w:space="0"/>
            </w:tcBorders>
            <w:shd w:val="clear" w:color="auto" w:fill="auto"/>
            <w:noWrap/>
            <w:vAlign w:val="center"/>
          </w:tcPr>
          <w:p w14:paraId="18327B3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500</w:t>
            </w:r>
          </w:p>
        </w:tc>
        <w:tc>
          <w:tcPr>
            <w:tcW w:w="1240" w:type="dxa"/>
            <w:tcBorders>
              <w:top w:val="nil"/>
              <w:left w:val="nil"/>
              <w:bottom w:val="single" w:color="auto" w:sz="4" w:space="0"/>
            </w:tcBorders>
            <w:shd w:val="clear" w:color="auto" w:fill="auto"/>
            <w:noWrap/>
            <w:vAlign w:val="center"/>
          </w:tcPr>
          <w:p w14:paraId="589CE8D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550</w:t>
            </w:r>
          </w:p>
        </w:tc>
      </w:tr>
      <w:tr w14:paraId="76CE61CE">
        <w:tblPrEx>
          <w:tblCellMar>
            <w:top w:w="0" w:type="dxa"/>
            <w:left w:w="108" w:type="dxa"/>
            <w:bottom w:w="0" w:type="dxa"/>
            <w:right w:w="108" w:type="dxa"/>
          </w:tblCellMar>
        </w:tblPrEx>
        <w:trPr>
          <w:trHeight w:val="285" w:hRule="atLeast"/>
        </w:trPr>
        <w:tc>
          <w:tcPr>
            <w:tcW w:w="784" w:type="dxa"/>
            <w:vMerge w:val="continue"/>
            <w:tcBorders>
              <w:top w:val="nil"/>
              <w:bottom w:val="single" w:color="000000" w:sz="4" w:space="0"/>
              <w:right w:val="single" w:color="auto" w:sz="4" w:space="0"/>
            </w:tcBorders>
            <w:vAlign w:val="center"/>
          </w:tcPr>
          <w:p w14:paraId="6889C89C">
            <w:pPr>
              <w:widowControl/>
              <w:jc w:val="left"/>
              <w:rPr>
                <w:rFonts w:ascii="Times New Roman" w:hAnsi="Times New Roman" w:eastAsia="仿宋_GB2312" w:cs="Times New Roman"/>
                <w:kern w:val="0"/>
                <w:sz w:val="24"/>
                <w:szCs w:val="24"/>
              </w:rPr>
            </w:pPr>
          </w:p>
        </w:tc>
        <w:tc>
          <w:tcPr>
            <w:tcW w:w="1354" w:type="dxa"/>
            <w:tcBorders>
              <w:top w:val="nil"/>
              <w:left w:val="nil"/>
              <w:bottom w:val="single" w:color="auto" w:sz="4" w:space="0"/>
              <w:right w:val="single" w:color="auto" w:sz="4" w:space="0"/>
            </w:tcBorders>
            <w:shd w:val="clear" w:color="auto" w:fill="auto"/>
            <w:noWrap/>
            <w:vAlign w:val="center"/>
          </w:tcPr>
          <w:p w14:paraId="5DC0D767">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政府、企业</w:t>
            </w:r>
          </w:p>
        </w:tc>
        <w:tc>
          <w:tcPr>
            <w:tcW w:w="1134" w:type="dxa"/>
            <w:tcBorders>
              <w:top w:val="nil"/>
              <w:left w:val="nil"/>
              <w:bottom w:val="single" w:color="auto" w:sz="4" w:space="0"/>
              <w:right w:val="single" w:color="auto" w:sz="4" w:space="0"/>
            </w:tcBorders>
            <w:shd w:val="clear" w:color="auto" w:fill="auto"/>
            <w:noWrap/>
            <w:vAlign w:val="center"/>
          </w:tcPr>
          <w:p w14:paraId="3FD5332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w:t>
            </w:r>
          </w:p>
        </w:tc>
        <w:tc>
          <w:tcPr>
            <w:tcW w:w="1134" w:type="dxa"/>
            <w:tcBorders>
              <w:top w:val="nil"/>
              <w:left w:val="nil"/>
              <w:bottom w:val="single" w:color="auto" w:sz="4" w:space="0"/>
              <w:right w:val="single" w:color="auto" w:sz="4" w:space="0"/>
            </w:tcBorders>
            <w:shd w:val="clear" w:color="auto" w:fill="auto"/>
            <w:noWrap/>
            <w:vAlign w:val="center"/>
          </w:tcPr>
          <w:p w14:paraId="4A32A9C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w:t>
            </w:r>
          </w:p>
        </w:tc>
        <w:tc>
          <w:tcPr>
            <w:tcW w:w="1129" w:type="dxa"/>
            <w:tcBorders>
              <w:top w:val="nil"/>
              <w:left w:val="nil"/>
              <w:bottom w:val="single" w:color="auto" w:sz="4" w:space="0"/>
              <w:right w:val="single" w:color="auto" w:sz="4" w:space="0"/>
            </w:tcBorders>
            <w:shd w:val="clear" w:color="auto" w:fill="auto"/>
            <w:noWrap/>
            <w:vAlign w:val="center"/>
          </w:tcPr>
          <w:p w14:paraId="0E3BB6B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w:t>
            </w:r>
          </w:p>
        </w:tc>
        <w:tc>
          <w:tcPr>
            <w:tcW w:w="1057" w:type="dxa"/>
            <w:tcBorders>
              <w:top w:val="nil"/>
              <w:left w:val="nil"/>
              <w:bottom w:val="single" w:color="auto" w:sz="4" w:space="0"/>
              <w:right w:val="single" w:color="auto" w:sz="4" w:space="0"/>
            </w:tcBorders>
            <w:shd w:val="clear" w:color="000000" w:fill="auto"/>
            <w:noWrap/>
            <w:vAlign w:val="center"/>
          </w:tcPr>
          <w:p w14:paraId="0253AE0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60</w:t>
            </w:r>
          </w:p>
        </w:tc>
        <w:tc>
          <w:tcPr>
            <w:tcW w:w="1240" w:type="dxa"/>
            <w:tcBorders>
              <w:top w:val="nil"/>
              <w:left w:val="nil"/>
              <w:bottom w:val="single" w:color="auto" w:sz="4" w:space="0"/>
              <w:right w:val="single" w:color="auto" w:sz="4" w:space="0"/>
            </w:tcBorders>
            <w:shd w:val="clear" w:color="auto" w:fill="auto"/>
            <w:noWrap/>
            <w:vAlign w:val="center"/>
          </w:tcPr>
          <w:p w14:paraId="302B02A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200</w:t>
            </w:r>
          </w:p>
        </w:tc>
        <w:tc>
          <w:tcPr>
            <w:tcW w:w="1240" w:type="dxa"/>
            <w:tcBorders>
              <w:top w:val="nil"/>
              <w:left w:val="nil"/>
              <w:bottom w:val="single" w:color="auto" w:sz="4" w:space="0"/>
            </w:tcBorders>
            <w:shd w:val="clear" w:color="auto" w:fill="auto"/>
            <w:noWrap/>
            <w:vAlign w:val="center"/>
          </w:tcPr>
          <w:p w14:paraId="3FFA635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260</w:t>
            </w:r>
          </w:p>
        </w:tc>
      </w:tr>
      <w:tr w14:paraId="134EB5AB">
        <w:tblPrEx>
          <w:tblCellMar>
            <w:top w:w="0" w:type="dxa"/>
            <w:left w:w="108" w:type="dxa"/>
            <w:bottom w:w="0" w:type="dxa"/>
            <w:right w:w="108" w:type="dxa"/>
          </w:tblCellMar>
        </w:tblPrEx>
        <w:trPr>
          <w:trHeight w:val="375" w:hRule="atLeast"/>
        </w:trPr>
        <w:tc>
          <w:tcPr>
            <w:tcW w:w="2138" w:type="dxa"/>
            <w:gridSpan w:val="2"/>
            <w:tcBorders>
              <w:top w:val="single" w:color="auto" w:sz="4" w:space="0"/>
              <w:bottom w:val="single" w:color="auto" w:sz="4" w:space="0"/>
              <w:right w:val="single" w:color="000000" w:sz="4" w:space="0"/>
            </w:tcBorders>
            <w:shd w:val="clear" w:color="auto" w:fill="auto"/>
            <w:noWrap/>
            <w:vAlign w:val="center"/>
          </w:tcPr>
          <w:p w14:paraId="507B18AE">
            <w:pPr>
              <w:widowControl/>
              <w:jc w:val="left"/>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小型客车合计</w:t>
            </w:r>
          </w:p>
        </w:tc>
        <w:tc>
          <w:tcPr>
            <w:tcW w:w="1134" w:type="dxa"/>
            <w:tcBorders>
              <w:top w:val="nil"/>
              <w:left w:val="nil"/>
              <w:bottom w:val="single" w:color="auto" w:sz="4" w:space="0"/>
              <w:right w:val="single" w:color="auto" w:sz="4" w:space="0"/>
            </w:tcBorders>
            <w:shd w:val="clear" w:color="auto" w:fill="auto"/>
            <w:noWrap/>
            <w:vAlign w:val="center"/>
          </w:tcPr>
          <w:p w14:paraId="218A1E6E">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20</w:t>
            </w:r>
          </w:p>
        </w:tc>
        <w:tc>
          <w:tcPr>
            <w:tcW w:w="1134" w:type="dxa"/>
            <w:tcBorders>
              <w:top w:val="nil"/>
              <w:left w:val="nil"/>
              <w:bottom w:val="single" w:color="auto" w:sz="4" w:space="0"/>
              <w:right w:val="single" w:color="auto" w:sz="4" w:space="0"/>
            </w:tcBorders>
            <w:shd w:val="clear" w:color="auto" w:fill="auto"/>
            <w:noWrap/>
            <w:vAlign w:val="center"/>
          </w:tcPr>
          <w:p w14:paraId="57783830">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20</w:t>
            </w:r>
          </w:p>
        </w:tc>
        <w:tc>
          <w:tcPr>
            <w:tcW w:w="1129" w:type="dxa"/>
            <w:tcBorders>
              <w:top w:val="nil"/>
              <w:left w:val="nil"/>
              <w:bottom w:val="single" w:color="auto" w:sz="4" w:space="0"/>
              <w:right w:val="single" w:color="auto" w:sz="4" w:space="0"/>
            </w:tcBorders>
            <w:shd w:val="clear" w:color="auto" w:fill="auto"/>
            <w:noWrap/>
            <w:vAlign w:val="center"/>
          </w:tcPr>
          <w:p w14:paraId="5BE80358">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590</w:t>
            </w:r>
          </w:p>
        </w:tc>
        <w:tc>
          <w:tcPr>
            <w:tcW w:w="1057" w:type="dxa"/>
            <w:tcBorders>
              <w:top w:val="nil"/>
              <w:left w:val="nil"/>
              <w:bottom w:val="single" w:color="auto" w:sz="4" w:space="0"/>
              <w:right w:val="single" w:color="auto" w:sz="4" w:space="0"/>
            </w:tcBorders>
            <w:shd w:val="clear" w:color="000000" w:fill="auto"/>
            <w:noWrap/>
            <w:vAlign w:val="center"/>
          </w:tcPr>
          <w:p w14:paraId="7844335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b/>
                <w:bCs/>
                <w:kern w:val="0"/>
                <w:sz w:val="24"/>
                <w:szCs w:val="24"/>
              </w:rPr>
              <w:t>610</w:t>
            </w:r>
          </w:p>
        </w:tc>
        <w:tc>
          <w:tcPr>
            <w:tcW w:w="1240" w:type="dxa"/>
            <w:tcBorders>
              <w:top w:val="nil"/>
              <w:left w:val="nil"/>
              <w:bottom w:val="single" w:color="auto" w:sz="4" w:space="0"/>
              <w:right w:val="single" w:color="auto" w:sz="4" w:space="0"/>
            </w:tcBorders>
            <w:shd w:val="clear" w:color="auto" w:fill="auto"/>
            <w:noWrap/>
            <w:vAlign w:val="center"/>
          </w:tcPr>
          <w:p w14:paraId="35CB3836">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2800</w:t>
            </w:r>
          </w:p>
        </w:tc>
        <w:tc>
          <w:tcPr>
            <w:tcW w:w="1240" w:type="dxa"/>
            <w:tcBorders>
              <w:top w:val="nil"/>
              <w:left w:val="nil"/>
              <w:bottom w:val="single" w:color="auto" w:sz="4" w:space="0"/>
            </w:tcBorders>
            <w:shd w:val="clear" w:color="auto" w:fill="auto"/>
            <w:noWrap/>
            <w:vAlign w:val="center"/>
          </w:tcPr>
          <w:p w14:paraId="1B94D21E">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3410</w:t>
            </w:r>
          </w:p>
        </w:tc>
      </w:tr>
      <w:tr w14:paraId="59451B34">
        <w:tblPrEx>
          <w:tblCellMar>
            <w:top w:w="0" w:type="dxa"/>
            <w:left w:w="108" w:type="dxa"/>
            <w:bottom w:w="0" w:type="dxa"/>
            <w:right w:w="108" w:type="dxa"/>
          </w:tblCellMar>
        </w:tblPrEx>
        <w:trPr>
          <w:trHeight w:val="375" w:hRule="atLeast"/>
        </w:trPr>
        <w:tc>
          <w:tcPr>
            <w:tcW w:w="2138" w:type="dxa"/>
            <w:gridSpan w:val="2"/>
            <w:tcBorders>
              <w:top w:val="single" w:color="auto" w:sz="4" w:space="0"/>
              <w:bottom w:val="single" w:color="1F497D" w:themeColor="text2" w:sz="12" w:space="0"/>
              <w:right w:val="single" w:color="000000" w:sz="4" w:space="0"/>
            </w:tcBorders>
            <w:shd w:val="clear" w:color="auto" w:fill="auto"/>
            <w:noWrap/>
            <w:vAlign w:val="center"/>
          </w:tcPr>
          <w:p w14:paraId="0D3A5F09">
            <w:pPr>
              <w:widowControl/>
              <w:jc w:val="left"/>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氢能源客车合计</w:t>
            </w:r>
          </w:p>
        </w:tc>
        <w:tc>
          <w:tcPr>
            <w:tcW w:w="1134" w:type="dxa"/>
            <w:tcBorders>
              <w:top w:val="nil"/>
              <w:left w:val="nil"/>
              <w:bottom w:val="single" w:color="1F497D" w:themeColor="text2" w:sz="12" w:space="0"/>
              <w:right w:val="single" w:color="auto" w:sz="4" w:space="0"/>
            </w:tcBorders>
            <w:shd w:val="clear" w:color="auto" w:fill="auto"/>
            <w:noWrap/>
            <w:vAlign w:val="center"/>
          </w:tcPr>
          <w:p w14:paraId="0FE5F12E">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249</w:t>
            </w:r>
          </w:p>
        </w:tc>
        <w:tc>
          <w:tcPr>
            <w:tcW w:w="1134" w:type="dxa"/>
            <w:tcBorders>
              <w:top w:val="nil"/>
              <w:left w:val="nil"/>
              <w:bottom w:val="single" w:color="1F497D" w:themeColor="text2" w:sz="12" w:space="0"/>
              <w:right w:val="single" w:color="auto" w:sz="4" w:space="0"/>
            </w:tcBorders>
            <w:shd w:val="clear" w:color="auto" w:fill="auto"/>
            <w:noWrap/>
            <w:vAlign w:val="center"/>
          </w:tcPr>
          <w:p w14:paraId="3E09AE0B">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300</w:t>
            </w:r>
          </w:p>
        </w:tc>
        <w:tc>
          <w:tcPr>
            <w:tcW w:w="1129" w:type="dxa"/>
            <w:tcBorders>
              <w:top w:val="nil"/>
              <w:left w:val="nil"/>
              <w:bottom w:val="single" w:color="1F497D" w:themeColor="text2" w:sz="12" w:space="0"/>
              <w:right w:val="single" w:color="auto" w:sz="4" w:space="0"/>
            </w:tcBorders>
            <w:shd w:val="clear" w:color="auto" w:fill="auto"/>
            <w:noWrap/>
            <w:vAlign w:val="center"/>
          </w:tcPr>
          <w:p w14:paraId="2A84BDDC">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1180</w:t>
            </w:r>
          </w:p>
        </w:tc>
        <w:tc>
          <w:tcPr>
            <w:tcW w:w="1057" w:type="dxa"/>
            <w:tcBorders>
              <w:top w:val="nil"/>
              <w:left w:val="nil"/>
              <w:bottom w:val="single" w:color="1F497D" w:themeColor="text2" w:sz="12" w:space="0"/>
              <w:right w:val="single" w:color="auto" w:sz="4" w:space="0"/>
            </w:tcBorders>
            <w:shd w:val="clear" w:color="auto" w:fill="auto"/>
            <w:noWrap/>
            <w:vAlign w:val="center"/>
          </w:tcPr>
          <w:p w14:paraId="7301A8F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b/>
                <w:bCs/>
                <w:kern w:val="0"/>
                <w:sz w:val="24"/>
                <w:szCs w:val="24"/>
              </w:rPr>
              <w:t>1480</w:t>
            </w:r>
          </w:p>
        </w:tc>
        <w:tc>
          <w:tcPr>
            <w:tcW w:w="1240" w:type="dxa"/>
            <w:tcBorders>
              <w:top w:val="nil"/>
              <w:left w:val="nil"/>
              <w:bottom w:val="single" w:color="1F497D" w:themeColor="text2" w:sz="12" w:space="0"/>
              <w:right w:val="single" w:color="auto" w:sz="4" w:space="0"/>
            </w:tcBorders>
            <w:shd w:val="clear" w:color="auto" w:fill="auto"/>
            <w:noWrap/>
            <w:vAlign w:val="center"/>
          </w:tcPr>
          <w:p w14:paraId="46DB63AF">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4460</w:t>
            </w:r>
          </w:p>
        </w:tc>
        <w:tc>
          <w:tcPr>
            <w:tcW w:w="1240" w:type="dxa"/>
            <w:tcBorders>
              <w:top w:val="nil"/>
              <w:left w:val="nil"/>
              <w:bottom w:val="single" w:color="1F497D" w:themeColor="text2" w:sz="12" w:space="0"/>
            </w:tcBorders>
            <w:shd w:val="clear" w:color="auto" w:fill="auto"/>
            <w:noWrap/>
            <w:vAlign w:val="center"/>
          </w:tcPr>
          <w:p w14:paraId="536FA6B5">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5940</w:t>
            </w:r>
          </w:p>
        </w:tc>
      </w:tr>
    </w:tbl>
    <w:p w14:paraId="1D00B470">
      <w:pPr>
        <w:spacing w:line="360" w:lineRule="auto"/>
        <w:ind w:firstLine="602" w:firstLineChars="200"/>
        <w:rPr>
          <w:rFonts w:ascii="Times New Roman" w:hAnsi="Times New Roman" w:eastAsia="楷体_GB2312" w:cs="Times New Roman"/>
          <w:b/>
          <w:spacing w:val="10"/>
          <w:kern w:val="28"/>
          <w:sz w:val="28"/>
          <w:szCs w:val="32"/>
        </w:rPr>
      </w:pPr>
      <w:r>
        <w:rPr>
          <w:rFonts w:hint="eastAsia" w:ascii="Times New Roman" w:hAnsi="Times New Roman" w:eastAsia="楷体_GB2312" w:cs="Times New Roman"/>
          <w:b/>
          <w:spacing w:val="10"/>
          <w:kern w:val="28"/>
          <w:sz w:val="28"/>
          <w:szCs w:val="32"/>
        </w:rPr>
        <w:t>重点任务二：氢燃料货车推广规划及应用网络建设</w:t>
      </w:r>
    </w:p>
    <w:p w14:paraId="2020EBCF">
      <w:pPr>
        <w:pStyle w:val="302"/>
      </w:pPr>
      <w:r>
        <w:rPr>
          <w:rFonts w:hint="eastAsia"/>
        </w:rPr>
        <w:t>货运汽车按照车型可以分为大型货车(≥14吨，≥6m)、中型货车(6～14吨，＜6m)、小型客车(6～14吨，＜6m)、轻型货车(1.8～6吨，＜6m)和微型货车(＜1.8吨，3.5m)。大型货车主要用于煤炭、焦炭、矿石和粮食等大宗商品的运输，还有小部分用于市政用车等特殊车辆；中型货车主要用于物流车、中短途货运和市政环卫车等；轻型货车主要用于物流车、冷链车、中短途运输车和市政车辆等；微型货车主要用于室内短途运输、小型物流车和小型市政用车，推广规划详见表4-2。</w:t>
      </w:r>
    </w:p>
    <w:p w14:paraId="4AC87B41">
      <w:pPr>
        <w:pStyle w:val="302"/>
        <w:ind w:firstLine="562"/>
      </w:pPr>
      <w:r>
        <w:rPr>
          <w:rFonts w:hint="eastAsia"/>
          <w:b/>
        </w:rPr>
        <w:t>重型货运车：</w:t>
      </w:r>
      <w:r>
        <w:rPr>
          <w:rFonts w:hint="eastAsia"/>
        </w:rPr>
        <w:t>前期，主要依托同煤等省属大型企业，选取部分矿井和焦化厂至集运站、矿井至省内用户运输线路进行氢燃料重型卡车的示范，预计到2023年，运行线路不少于10条，运行车辆不少于200辆；中期随着加氢站等基础设施日趋完善，氢燃料重卡汽车生产规模化效应导致的成本大幅降低，氢燃料重型货车的保有量大幅提升，预计到2025年，氢燃料重型货车保有量达到3000辆以上，同时作为重型环卫车保有车辆不低于120辆，氢燃料重卡新增车辆中柴油车占比为零，实现柴油重型货车增量的“柴转氢”；预计到2030年，氢燃料重型货车保有量达到40000辆以上，重型环卫车保有量达到300辆以上，柴油重型货车全部淘汰，真正实现“柴转氢”。</w:t>
      </w:r>
    </w:p>
    <w:p w14:paraId="376D830B">
      <w:pPr>
        <w:pStyle w:val="302"/>
        <w:ind w:firstLine="562"/>
      </w:pPr>
      <w:r>
        <w:rPr>
          <w:rFonts w:hint="eastAsia"/>
          <w:b/>
        </w:rPr>
        <w:t>中型货运车：</w:t>
      </w:r>
      <w:r>
        <w:rPr>
          <w:rFonts w:hint="eastAsia"/>
        </w:rPr>
        <w:t>前期主要依托大同市现有物流线路，着重在大同市物流园区进行氢燃料中型物流车的示范，预计到2023年氢燃料中型物流车保有量达到250辆以上；中期氢燃料中型物流车逐渐覆盖全市并向周边地市发展，同时进行中型环卫车的示范运行，预计到2025年氢燃料中型物流车的保有量达到750辆以上，氢燃料中型环卫车保有量达到80辆；到2030年中型货运车中柴油车辆全部淘汰，氢燃料中型物流车的保有量不低于3000辆，氢燃料中型环卫车保有量不低于140辆。</w:t>
      </w:r>
    </w:p>
    <w:p w14:paraId="58A5A4A0">
      <w:pPr>
        <w:pStyle w:val="302"/>
        <w:ind w:firstLine="562"/>
      </w:pPr>
      <w:r>
        <w:rPr>
          <w:rFonts w:hint="eastAsia"/>
          <w:b/>
        </w:rPr>
        <w:t>轻型货运车：</w:t>
      </w:r>
      <w:r>
        <w:rPr>
          <w:rFonts w:hint="eastAsia"/>
          <w:bCs/>
        </w:rPr>
        <w:t>大同市现有氢燃料物流车22辆，在氢能产业发展前期</w:t>
      </w:r>
      <w:r>
        <w:rPr>
          <w:rFonts w:hint="eastAsia"/>
        </w:rPr>
        <w:t>着重进行氢燃料轻型物流车、冷链车和市政车辆的示范运行，预计到2023年氢燃料轻型物流车保有量不低于200辆，冷链车保有量不低于5辆，市政用车的保有量不低于15辆；中期主要对氢燃料轻型货运车进行大范围的推广和应用，预计到2025年，氢燃料轻型货运车总保有量不低于800辆，冷链车保有量不低于20辆，市政用车的保有量不低于50辆；预计到2030年，氢燃料轻型货运车总保有量不低于8000辆，冷链车保有量不低于100辆，市政用车的保有量不低于100辆，轻型货运车中的柴油车将全部淘汰，实现轻型货运车的“柴转氢”。</w:t>
      </w:r>
    </w:p>
    <w:tbl>
      <w:tblPr>
        <w:tblStyle w:val="62"/>
        <w:tblW w:w="9072" w:type="dxa"/>
        <w:tblInd w:w="94" w:type="dxa"/>
        <w:tblLayout w:type="fixed"/>
        <w:tblCellMar>
          <w:top w:w="0" w:type="dxa"/>
          <w:left w:w="108" w:type="dxa"/>
          <w:bottom w:w="0" w:type="dxa"/>
          <w:right w:w="108" w:type="dxa"/>
        </w:tblCellMar>
      </w:tblPr>
      <w:tblGrid>
        <w:gridCol w:w="1290"/>
        <w:gridCol w:w="1671"/>
        <w:gridCol w:w="1132"/>
        <w:gridCol w:w="1009"/>
        <w:gridCol w:w="1009"/>
        <w:gridCol w:w="955"/>
        <w:gridCol w:w="995"/>
        <w:gridCol w:w="1011"/>
      </w:tblGrid>
      <w:tr w14:paraId="7B4E99E6">
        <w:tblPrEx>
          <w:tblCellMar>
            <w:top w:w="0" w:type="dxa"/>
            <w:left w:w="108" w:type="dxa"/>
            <w:bottom w:w="0" w:type="dxa"/>
            <w:right w:w="108" w:type="dxa"/>
          </w:tblCellMar>
        </w:tblPrEx>
        <w:trPr>
          <w:trHeight w:val="20" w:hRule="atLeast"/>
        </w:trPr>
        <w:tc>
          <w:tcPr>
            <w:tcW w:w="9072" w:type="dxa"/>
            <w:gridSpan w:val="8"/>
            <w:tcBorders>
              <w:top w:val="single" w:color="1F497D" w:themeColor="text2" w:sz="12" w:space="0"/>
              <w:left w:val="nil"/>
              <w:bottom w:val="single" w:color="auto" w:sz="4" w:space="0"/>
            </w:tcBorders>
            <w:shd w:val="clear" w:color="auto" w:fill="auto"/>
            <w:noWrap/>
            <w:vAlign w:val="bottom"/>
          </w:tcPr>
          <w:p w14:paraId="27F15531">
            <w:pPr>
              <w:widowControl/>
              <w:jc w:val="left"/>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表</w:t>
            </w:r>
            <w:r>
              <w:rPr>
                <w:rFonts w:hint="eastAsia" w:ascii="Times New Roman" w:hAnsi="Times New Roman" w:eastAsia="仿宋_GB2312" w:cs="Times New Roman"/>
                <w:b/>
                <w:kern w:val="0"/>
                <w:sz w:val="24"/>
                <w:szCs w:val="24"/>
              </w:rPr>
              <w:t>4</w:t>
            </w:r>
            <w:r>
              <w:rPr>
                <w:rFonts w:ascii="Times New Roman" w:hAnsi="Times New Roman" w:eastAsia="仿宋_GB2312" w:cs="Times New Roman"/>
                <w:b/>
                <w:kern w:val="0"/>
                <w:sz w:val="24"/>
                <w:szCs w:val="24"/>
              </w:rPr>
              <w:t>-</w:t>
            </w:r>
            <w:r>
              <w:rPr>
                <w:rFonts w:hint="eastAsia" w:ascii="Times New Roman" w:hAnsi="Times New Roman" w:eastAsia="仿宋_GB2312" w:cs="Times New Roman"/>
                <w:b/>
                <w:kern w:val="0"/>
                <w:sz w:val="24"/>
                <w:szCs w:val="24"/>
              </w:rPr>
              <w:t>2</w:t>
            </w:r>
            <w:r>
              <w:rPr>
                <w:rFonts w:ascii="Times New Roman" w:hAnsi="Times New Roman" w:eastAsia="仿宋_GB2312" w:cs="Times New Roman"/>
                <w:b/>
                <w:kern w:val="0"/>
                <w:sz w:val="24"/>
                <w:szCs w:val="24"/>
              </w:rPr>
              <w:t xml:space="preserve">：2023-2030 </w:t>
            </w:r>
            <w:r>
              <w:rPr>
                <w:rFonts w:hint="eastAsia" w:ascii="Times New Roman" w:hAnsi="Times New Roman" w:eastAsia="仿宋_GB2312" w:cs="Times New Roman"/>
                <w:b/>
                <w:kern w:val="0"/>
                <w:sz w:val="24"/>
                <w:szCs w:val="24"/>
              </w:rPr>
              <w:t>大同市</w:t>
            </w:r>
            <w:r>
              <w:rPr>
                <w:rFonts w:ascii="Times New Roman" w:hAnsi="Times New Roman" w:eastAsia="仿宋_GB2312" w:cs="Times New Roman"/>
                <w:b/>
                <w:kern w:val="0"/>
                <w:sz w:val="24"/>
                <w:szCs w:val="24"/>
              </w:rPr>
              <w:t>氢燃料</w:t>
            </w:r>
            <w:r>
              <w:rPr>
                <w:rFonts w:hint="eastAsia" w:ascii="Times New Roman" w:hAnsi="Times New Roman" w:eastAsia="仿宋_GB2312" w:cs="Times New Roman"/>
                <w:b/>
                <w:kern w:val="0"/>
                <w:sz w:val="24"/>
                <w:szCs w:val="24"/>
              </w:rPr>
              <w:t>货车推广计划</w:t>
            </w:r>
            <w:r>
              <w:rPr>
                <w:rFonts w:ascii="Times New Roman" w:hAnsi="Times New Roman" w:eastAsia="仿宋_GB2312" w:cs="Times New Roman"/>
                <w:b/>
                <w:kern w:val="0"/>
                <w:sz w:val="24"/>
                <w:szCs w:val="24"/>
              </w:rPr>
              <w:t xml:space="preserve">(辆) </w:t>
            </w:r>
          </w:p>
        </w:tc>
      </w:tr>
      <w:tr w14:paraId="2BEE2377">
        <w:tblPrEx>
          <w:tblCellMar>
            <w:top w:w="0" w:type="dxa"/>
            <w:left w:w="108" w:type="dxa"/>
            <w:bottom w:w="0" w:type="dxa"/>
            <w:right w:w="108" w:type="dxa"/>
          </w:tblCellMar>
        </w:tblPrEx>
        <w:trPr>
          <w:trHeight w:val="90" w:hRule="atLeast"/>
        </w:trPr>
        <w:tc>
          <w:tcPr>
            <w:tcW w:w="2961" w:type="dxa"/>
            <w:gridSpan w:val="2"/>
            <w:vMerge w:val="restart"/>
            <w:tcBorders>
              <w:top w:val="single" w:color="auto" w:sz="4" w:space="0"/>
              <w:left w:val="nil"/>
              <w:bottom w:val="single" w:color="auto" w:sz="4" w:space="0"/>
              <w:right w:val="single" w:color="auto" w:sz="4" w:space="0"/>
            </w:tcBorders>
            <w:shd w:val="clear" w:color="auto" w:fill="auto"/>
            <w:noWrap/>
            <w:vAlign w:val="center"/>
          </w:tcPr>
          <w:p w14:paraId="73BBEE6E">
            <w:pPr>
              <w:widowControl/>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名称/年份</w:t>
            </w:r>
          </w:p>
        </w:tc>
        <w:tc>
          <w:tcPr>
            <w:tcW w:w="2141" w:type="dxa"/>
            <w:gridSpan w:val="2"/>
            <w:tcBorders>
              <w:top w:val="nil"/>
              <w:left w:val="nil"/>
              <w:bottom w:val="single" w:color="auto" w:sz="4" w:space="0"/>
              <w:right w:val="single" w:color="auto" w:sz="4" w:space="0"/>
            </w:tcBorders>
            <w:shd w:val="clear" w:color="auto" w:fill="auto"/>
            <w:noWrap/>
            <w:vAlign w:val="center"/>
          </w:tcPr>
          <w:p w14:paraId="7BC4C40C">
            <w:pPr>
              <w:widowControl/>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202</w:t>
            </w:r>
            <w:r>
              <w:rPr>
                <w:rFonts w:hint="eastAsia" w:ascii="Times New Roman" w:hAnsi="Times New Roman" w:eastAsia="仿宋_GB2312" w:cs="Times New Roman"/>
                <w:b/>
                <w:kern w:val="0"/>
                <w:sz w:val="24"/>
                <w:szCs w:val="24"/>
              </w:rPr>
              <w:t>3年</w:t>
            </w:r>
          </w:p>
        </w:tc>
        <w:tc>
          <w:tcPr>
            <w:tcW w:w="1964" w:type="dxa"/>
            <w:gridSpan w:val="2"/>
            <w:tcBorders>
              <w:top w:val="nil"/>
              <w:left w:val="nil"/>
              <w:bottom w:val="single" w:color="auto" w:sz="4" w:space="0"/>
              <w:right w:val="single" w:color="auto" w:sz="4" w:space="0"/>
            </w:tcBorders>
            <w:shd w:val="clear" w:color="auto" w:fill="auto"/>
            <w:noWrap/>
            <w:vAlign w:val="bottom"/>
          </w:tcPr>
          <w:p w14:paraId="4E5E3FBB">
            <w:pPr>
              <w:widowControl/>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2025</w:t>
            </w:r>
            <w:r>
              <w:rPr>
                <w:rFonts w:hint="eastAsia" w:ascii="Times New Roman" w:hAnsi="Times New Roman" w:eastAsia="仿宋_GB2312" w:cs="Times New Roman"/>
                <w:b/>
                <w:kern w:val="0"/>
                <w:sz w:val="24"/>
                <w:szCs w:val="24"/>
              </w:rPr>
              <w:t>年</w:t>
            </w:r>
          </w:p>
        </w:tc>
        <w:tc>
          <w:tcPr>
            <w:tcW w:w="2006" w:type="dxa"/>
            <w:gridSpan w:val="2"/>
            <w:tcBorders>
              <w:top w:val="nil"/>
              <w:left w:val="nil"/>
              <w:bottom w:val="single" w:color="auto" w:sz="4" w:space="0"/>
              <w:right w:val="nil"/>
            </w:tcBorders>
            <w:shd w:val="clear" w:color="auto" w:fill="auto"/>
            <w:noWrap/>
            <w:vAlign w:val="center"/>
          </w:tcPr>
          <w:p w14:paraId="2E3E8949">
            <w:pPr>
              <w:widowControl/>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2030</w:t>
            </w:r>
            <w:r>
              <w:rPr>
                <w:rFonts w:hint="eastAsia" w:ascii="Times New Roman" w:hAnsi="Times New Roman" w:eastAsia="仿宋_GB2312" w:cs="Times New Roman"/>
                <w:b/>
                <w:kern w:val="0"/>
                <w:sz w:val="24"/>
                <w:szCs w:val="24"/>
              </w:rPr>
              <w:t>年</w:t>
            </w:r>
          </w:p>
        </w:tc>
      </w:tr>
      <w:tr w14:paraId="74B3CAA5">
        <w:tblPrEx>
          <w:tblCellMar>
            <w:top w:w="0" w:type="dxa"/>
            <w:left w:w="108" w:type="dxa"/>
            <w:bottom w:w="0" w:type="dxa"/>
            <w:right w:w="108" w:type="dxa"/>
          </w:tblCellMar>
        </w:tblPrEx>
        <w:trPr>
          <w:trHeight w:val="20" w:hRule="atLeast"/>
        </w:trPr>
        <w:tc>
          <w:tcPr>
            <w:tcW w:w="2961" w:type="dxa"/>
            <w:gridSpan w:val="2"/>
            <w:vMerge w:val="continue"/>
            <w:tcBorders>
              <w:top w:val="single" w:color="auto" w:sz="4" w:space="0"/>
              <w:left w:val="nil"/>
              <w:bottom w:val="single" w:color="auto" w:sz="4" w:space="0"/>
              <w:right w:val="single" w:color="auto" w:sz="4" w:space="0"/>
            </w:tcBorders>
            <w:shd w:val="clear" w:color="auto" w:fill="auto"/>
            <w:vAlign w:val="center"/>
          </w:tcPr>
          <w:p w14:paraId="64832BF5">
            <w:pPr>
              <w:widowControl/>
              <w:pBdr>
                <w:bottom w:val="single" w:color="4F81BD" w:sz="8" w:space="4"/>
              </w:pBdr>
              <w:spacing w:after="300" w:line="360" w:lineRule="auto"/>
              <w:contextualSpacing/>
              <w:jc w:val="left"/>
              <w:outlineLvl w:val="0"/>
              <w:rPr>
                <w:rFonts w:ascii="Times New Roman" w:hAnsi="Times New Roman" w:eastAsia="仿宋_GB2312" w:cs="Times New Roman"/>
                <w:b/>
                <w:kern w:val="0"/>
                <w:sz w:val="24"/>
                <w:szCs w:val="24"/>
              </w:rPr>
            </w:pPr>
          </w:p>
        </w:tc>
        <w:tc>
          <w:tcPr>
            <w:tcW w:w="1132" w:type="dxa"/>
            <w:tcBorders>
              <w:top w:val="nil"/>
              <w:left w:val="nil"/>
              <w:bottom w:val="single" w:color="auto" w:sz="4" w:space="0"/>
              <w:right w:val="single" w:color="auto" w:sz="4" w:space="0"/>
            </w:tcBorders>
            <w:shd w:val="clear" w:color="auto" w:fill="auto"/>
            <w:noWrap/>
            <w:vAlign w:val="center"/>
          </w:tcPr>
          <w:p w14:paraId="5C02B554">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新增量</w:t>
            </w:r>
          </w:p>
        </w:tc>
        <w:tc>
          <w:tcPr>
            <w:tcW w:w="1009" w:type="dxa"/>
            <w:tcBorders>
              <w:top w:val="nil"/>
              <w:left w:val="nil"/>
              <w:bottom w:val="single" w:color="auto" w:sz="4" w:space="0"/>
              <w:right w:val="single" w:color="auto" w:sz="4" w:space="0"/>
            </w:tcBorders>
            <w:shd w:val="clear" w:color="auto" w:fill="auto"/>
            <w:noWrap/>
            <w:vAlign w:val="center"/>
          </w:tcPr>
          <w:p w14:paraId="33E46B11">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保有量</w:t>
            </w:r>
          </w:p>
        </w:tc>
        <w:tc>
          <w:tcPr>
            <w:tcW w:w="1009" w:type="dxa"/>
            <w:tcBorders>
              <w:top w:val="nil"/>
              <w:left w:val="nil"/>
              <w:bottom w:val="single" w:color="auto" w:sz="4" w:space="0"/>
              <w:right w:val="single" w:color="auto" w:sz="4" w:space="0"/>
            </w:tcBorders>
            <w:shd w:val="clear" w:color="auto" w:fill="auto"/>
            <w:noWrap/>
            <w:vAlign w:val="center"/>
          </w:tcPr>
          <w:p w14:paraId="2D7F87E5">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新增量</w:t>
            </w:r>
          </w:p>
        </w:tc>
        <w:tc>
          <w:tcPr>
            <w:tcW w:w="955" w:type="dxa"/>
            <w:tcBorders>
              <w:top w:val="nil"/>
              <w:left w:val="nil"/>
              <w:bottom w:val="single" w:color="auto" w:sz="4" w:space="0"/>
              <w:right w:val="single" w:color="auto" w:sz="4" w:space="0"/>
            </w:tcBorders>
            <w:shd w:val="clear" w:color="auto" w:fill="auto"/>
            <w:noWrap/>
            <w:vAlign w:val="center"/>
          </w:tcPr>
          <w:p w14:paraId="3FEBD985">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保有量</w:t>
            </w:r>
          </w:p>
        </w:tc>
        <w:tc>
          <w:tcPr>
            <w:tcW w:w="995" w:type="dxa"/>
            <w:tcBorders>
              <w:top w:val="nil"/>
              <w:left w:val="nil"/>
              <w:bottom w:val="single" w:color="auto" w:sz="4" w:space="0"/>
              <w:right w:val="single" w:color="auto" w:sz="4" w:space="0"/>
            </w:tcBorders>
            <w:shd w:val="clear" w:color="auto" w:fill="auto"/>
            <w:noWrap/>
            <w:vAlign w:val="center"/>
          </w:tcPr>
          <w:p w14:paraId="12C44A57">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新增量</w:t>
            </w:r>
          </w:p>
        </w:tc>
        <w:tc>
          <w:tcPr>
            <w:tcW w:w="1011" w:type="dxa"/>
            <w:tcBorders>
              <w:top w:val="single" w:color="auto" w:sz="4" w:space="0"/>
              <w:left w:val="single" w:color="auto" w:sz="4" w:space="0"/>
              <w:bottom w:val="single" w:color="auto" w:sz="4" w:space="0"/>
              <w:right w:val="nil"/>
            </w:tcBorders>
            <w:shd w:val="clear" w:color="auto" w:fill="auto"/>
            <w:noWrap/>
            <w:vAlign w:val="center"/>
          </w:tcPr>
          <w:p w14:paraId="4A8E8965">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保有量</w:t>
            </w:r>
          </w:p>
        </w:tc>
      </w:tr>
      <w:tr w14:paraId="14682886">
        <w:tblPrEx>
          <w:tblCellMar>
            <w:top w:w="0" w:type="dxa"/>
            <w:left w:w="108" w:type="dxa"/>
            <w:bottom w:w="0" w:type="dxa"/>
            <w:right w:w="108" w:type="dxa"/>
          </w:tblCellMar>
        </w:tblPrEx>
        <w:trPr>
          <w:trHeight w:val="20" w:hRule="atLeast"/>
        </w:trPr>
        <w:tc>
          <w:tcPr>
            <w:tcW w:w="1290" w:type="dxa"/>
            <w:vMerge w:val="restart"/>
            <w:tcBorders>
              <w:top w:val="nil"/>
              <w:left w:val="nil"/>
              <w:bottom w:val="single" w:color="auto" w:sz="4" w:space="0"/>
              <w:right w:val="single" w:color="auto" w:sz="4" w:space="0"/>
            </w:tcBorders>
            <w:shd w:val="clear" w:color="auto" w:fill="auto"/>
            <w:noWrap/>
            <w:vAlign w:val="center"/>
          </w:tcPr>
          <w:p w14:paraId="6CCB0E2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重型货车</w:t>
            </w:r>
          </w:p>
        </w:tc>
        <w:tc>
          <w:tcPr>
            <w:tcW w:w="1671" w:type="dxa"/>
            <w:tcBorders>
              <w:top w:val="nil"/>
              <w:left w:val="nil"/>
              <w:bottom w:val="single" w:color="auto" w:sz="4" w:space="0"/>
              <w:right w:val="single" w:color="auto" w:sz="4" w:space="0"/>
            </w:tcBorders>
            <w:shd w:val="clear" w:color="auto" w:fill="auto"/>
            <w:noWrap/>
            <w:vAlign w:val="center"/>
          </w:tcPr>
          <w:p w14:paraId="29E9FB3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氢燃料</w:t>
            </w:r>
          </w:p>
        </w:tc>
        <w:tc>
          <w:tcPr>
            <w:tcW w:w="1132" w:type="dxa"/>
            <w:tcBorders>
              <w:top w:val="nil"/>
              <w:left w:val="nil"/>
              <w:bottom w:val="single" w:color="auto" w:sz="4" w:space="0"/>
              <w:right w:val="single" w:color="auto" w:sz="4" w:space="0"/>
            </w:tcBorders>
            <w:shd w:val="clear" w:color="auto" w:fill="auto"/>
            <w:noWrap/>
            <w:vAlign w:val="center"/>
          </w:tcPr>
          <w:p w14:paraId="085F952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200</w:t>
            </w:r>
          </w:p>
        </w:tc>
        <w:tc>
          <w:tcPr>
            <w:tcW w:w="1009" w:type="dxa"/>
            <w:tcBorders>
              <w:top w:val="nil"/>
              <w:left w:val="nil"/>
              <w:bottom w:val="single" w:color="auto" w:sz="4" w:space="0"/>
              <w:right w:val="single" w:color="auto" w:sz="4" w:space="0"/>
            </w:tcBorders>
            <w:shd w:val="clear" w:color="auto" w:fill="auto"/>
            <w:noWrap/>
            <w:vAlign w:val="center"/>
          </w:tcPr>
          <w:p w14:paraId="63A3A7D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200</w:t>
            </w:r>
          </w:p>
        </w:tc>
        <w:tc>
          <w:tcPr>
            <w:tcW w:w="1009" w:type="dxa"/>
            <w:tcBorders>
              <w:top w:val="nil"/>
              <w:left w:val="nil"/>
              <w:bottom w:val="single" w:color="auto" w:sz="4" w:space="0"/>
              <w:right w:val="single" w:color="auto" w:sz="4" w:space="0"/>
            </w:tcBorders>
            <w:shd w:val="clear" w:color="auto" w:fill="auto"/>
            <w:noWrap/>
            <w:vAlign w:val="center"/>
          </w:tcPr>
          <w:p w14:paraId="659D812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2800</w:t>
            </w:r>
          </w:p>
        </w:tc>
        <w:tc>
          <w:tcPr>
            <w:tcW w:w="955" w:type="dxa"/>
            <w:tcBorders>
              <w:top w:val="nil"/>
              <w:left w:val="nil"/>
              <w:bottom w:val="single" w:color="auto" w:sz="4" w:space="0"/>
              <w:right w:val="single" w:color="auto" w:sz="4" w:space="0"/>
            </w:tcBorders>
            <w:shd w:val="clear" w:color="auto" w:fill="auto"/>
            <w:noWrap/>
            <w:vAlign w:val="center"/>
          </w:tcPr>
          <w:p w14:paraId="6C1C41D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3000</w:t>
            </w:r>
          </w:p>
        </w:tc>
        <w:tc>
          <w:tcPr>
            <w:tcW w:w="995" w:type="dxa"/>
            <w:tcBorders>
              <w:top w:val="single" w:color="auto" w:sz="4" w:space="0"/>
              <w:left w:val="nil"/>
              <w:bottom w:val="single" w:color="auto" w:sz="4" w:space="0"/>
              <w:right w:val="single" w:color="auto" w:sz="4" w:space="0"/>
            </w:tcBorders>
            <w:shd w:val="clear" w:color="auto" w:fill="auto"/>
            <w:noWrap/>
            <w:vAlign w:val="center"/>
          </w:tcPr>
          <w:p w14:paraId="1AEF02A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37000</w:t>
            </w:r>
          </w:p>
        </w:tc>
        <w:tc>
          <w:tcPr>
            <w:tcW w:w="1011" w:type="dxa"/>
            <w:tcBorders>
              <w:top w:val="single" w:color="auto" w:sz="4" w:space="0"/>
              <w:left w:val="single" w:color="auto" w:sz="4" w:space="0"/>
              <w:bottom w:val="single" w:color="auto" w:sz="4" w:space="0"/>
              <w:right w:val="nil"/>
            </w:tcBorders>
            <w:shd w:val="clear" w:color="auto" w:fill="auto"/>
            <w:noWrap/>
            <w:vAlign w:val="center"/>
          </w:tcPr>
          <w:p w14:paraId="588AAB4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40000</w:t>
            </w:r>
          </w:p>
        </w:tc>
      </w:tr>
      <w:tr w14:paraId="02AC76E1">
        <w:tblPrEx>
          <w:tblCellMar>
            <w:top w:w="0" w:type="dxa"/>
            <w:left w:w="108" w:type="dxa"/>
            <w:bottom w:w="0" w:type="dxa"/>
            <w:right w:w="108" w:type="dxa"/>
          </w:tblCellMar>
        </w:tblPrEx>
        <w:trPr>
          <w:trHeight w:val="20" w:hRule="atLeast"/>
        </w:trPr>
        <w:tc>
          <w:tcPr>
            <w:tcW w:w="1290" w:type="dxa"/>
            <w:vMerge w:val="continue"/>
            <w:tcBorders>
              <w:top w:val="nil"/>
              <w:left w:val="nil"/>
              <w:bottom w:val="single" w:color="auto" w:sz="4" w:space="0"/>
              <w:right w:val="single" w:color="auto" w:sz="4" w:space="0"/>
            </w:tcBorders>
            <w:shd w:val="clear" w:color="auto" w:fill="auto"/>
            <w:vAlign w:val="center"/>
          </w:tcPr>
          <w:p w14:paraId="7159FCD3">
            <w:pPr>
              <w:widowControl/>
              <w:jc w:val="left"/>
              <w:rPr>
                <w:rFonts w:ascii="Times New Roman" w:hAnsi="Times New Roman" w:eastAsia="仿宋_GB2312" w:cs="Times New Roman"/>
                <w:kern w:val="0"/>
                <w:sz w:val="24"/>
                <w:szCs w:val="24"/>
              </w:rPr>
            </w:pPr>
          </w:p>
        </w:tc>
        <w:tc>
          <w:tcPr>
            <w:tcW w:w="1671" w:type="dxa"/>
            <w:tcBorders>
              <w:top w:val="nil"/>
              <w:left w:val="nil"/>
              <w:bottom w:val="single" w:color="auto" w:sz="4" w:space="0"/>
              <w:right w:val="single" w:color="auto" w:sz="4" w:space="0"/>
            </w:tcBorders>
            <w:shd w:val="clear" w:color="auto" w:fill="auto"/>
            <w:noWrap/>
            <w:vAlign w:val="center"/>
          </w:tcPr>
          <w:p w14:paraId="1EA433DD">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市政车辆</w:t>
            </w:r>
          </w:p>
        </w:tc>
        <w:tc>
          <w:tcPr>
            <w:tcW w:w="1132" w:type="dxa"/>
            <w:tcBorders>
              <w:top w:val="nil"/>
              <w:left w:val="nil"/>
              <w:bottom w:val="single" w:color="auto" w:sz="4" w:space="0"/>
              <w:right w:val="single" w:color="auto" w:sz="4" w:space="0"/>
            </w:tcBorders>
            <w:shd w:val="clear" w:color="auto" w:fill="auto"/>
            <w:noWrap/>
            <w:vAlign w:val="center"/>
          </w:tcPr>
          <w:p w14:paraId="146C8E0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w:t>
            </w:r>
          </w:p>
        </w:tc>
        <w:tc>
          <w:tcPr>
            <w:tcW w:w="1009" w:type="dxa"/>
            <w:tcBorders>
              <w:top w:val="nil"/>
              <w:left w:val="nil"/>
              <w:bottom w:val="single" w:color="auto" w:sz="4" w:space="0"/>
              <w:right w:val="single" w:color="auto" w:sz="4" w:space="0"/>
            </w:tcBorders>
            <w:shd w:val="clear" w:color="auto" w:fill="auto"/>
            <w:noWrap/>
            <w:vAlign w:val="center"/>
          </w:tcPr>
          <w:p w14:paraId="5C91B1A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w:t>
            </w:r>
          </w:p>
        </w:tc>
        <w:tc>
          <w:tcPr>
            <w:tcW w:w="1009" w:type="dxa"/>
            <w:tcBorders>
              <w:top w:val="nil"/>
              <w:left w:val="nil"/>
              <w:bottom w:val="single" w:color="auto" w:sz="4" w:space="0"/>
              <w:right w:val="single" w:color="auto" w:sz="4" w:space="0"/>
            </w:tcBorders>
            <w:shd w:val="clear" w:color="auto" w:fill="auto"/>
            <w:noWrap/>
            <w:vAlign w:val="center"/>
          </w:tcPr>
          <w:p w14:paraId="6895DAB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100</w:t>
            </w:r>
          </w:p>
        </w:tc>
        <w:tc>
          <w:tcPr>
            <w:tcW w:w="955" w:type="dxa"/>
            <w:tcBorders>
              <w:top w:val="nil"/>
              <w:left w:val="nil"/>
              <w:bottom w:val="single" w:color="auto" w:sz="4" w:space="0"/>
              <w:right w:val="single" w:color="auto" w:sz="4" w:space="0"/>
            </w:tcBorders>
            <w:shd w:val="clear" w:color="auto" w:fill="auto"/>
            <w:noWrap/>
            <w:vAlign w:val="center"/>
          </w:tcPr>
          <w:p w14:paraId="58B00B6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120</w:t>
            </w:r>
          </w:p>
        </w:tc>
        <w:tc>
          <w:tcPr>
            <w:tcW w:w="995" w:type="dxa"/>
            <w:tcBorders>
              <w:top w:val="single" w:color="auto" w:sz="4" w:space="0"/>
              <w:left w:val="nil"/>
              <w:bottom w:val="single" w:color="auto" w:sz="4" w:space="0"/>
              <w:right w:val="single" w:color="auto" w:sz="4" w:space="0"/>
            </w:tcBorders>
            <w:shd w:val="clear" w:color="auto" w:fill="auto"/>
            <w:noWrap/>
            <w:vAlign w:val="center"/>
          </w:tcPr>
          <w:p w14:paraId="7376BA1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180</w:t>
            </w:r>
          </w:p>
        </w:tc>
        <w:tc>
          <w:tcPr>
            <w:tcW w:w="1011" w:type="dxa"/>
            <w:tcBorders>
              <w:top w:val="single" w:color="auto" w:sz="4" w:space="0"/>
              <w:left w:val="single" w:color="auto" w:sz="4" w:space="0"/>
              <w:bottom w:val="single" w:color="auto" w:sz="4" w:space="0"/>
              <w:right w:val="nil"/>
            </w:tcBorders>
            <w:shd w:val="clear" w:color="auto" w:fill="auto"/>
            <w:noWrap/>
            <w:vAlign w:val="center"/>
          </w:tcPr>
          <w:p w14:paraId="23C8DAD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300</w:t>
            </w:r>
          </w:p>
        </w:tc>
      </w:tr>
      <w:tr w14:paraId="1EF93BCA">
        <w:tblPrEx>
          <w:tblCellMar>
            <w:top w:w="0" w:type="dxa"/>
            <w:left w:w="108" w:type="dxa"/>
            <w:bottom w:w="0" w:type="dxa"/>
            <w:right w:w="108" w:type="dxa"/>
          </w:tblCellMar>
        </w:tblPrEx>
        <w:trPr>
          <w:trHeight w:val="20" w:hRule="atLeast"/>
        </w:trPr>
        <w:tc>
          <w:tcPr>
            <w:tcW w:w="2961" w:type="dxa"/>
            <w:gridSpan w:val="2"/>
            <w:tcBorders>
              <w:top w:val="single" w:color="auto" w:sz="4" w:space="0"/>
              <w:left w:val="nil"/>
              <w:bottom w:val="single" w:color="auto" w:sz="4" w:space="0"/>
              <w:right w:val="single" w:color="auto" w:sz="4" w:space="0"/>
            </w:tcBorders>
            <w:shd w:val="clear" w:color="auto" w:fill="auto"/>
            <w:noWrap/>
            <w:vAlign w:val="center"/>
          </w:tcPr>
          <w:p w14:paraId="107B70DC">
            <w:pPr>
              <w:widowControl/>
              <w:jc w:val="left"/>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氢能源重型货车车合计</w:t>
            </w:r>
          </w:p>
        </w:tc>
        <w:tc>
          <w:tcPr>
            <w:tcW w:w="1132" w:type="dxa"/>
            <w:tcBorders>
              <w:top w:val="nil"/>
              <w:left w:val="nil"/>
              <w:bottom w:val="single" w:color="auto" w:sz="4" w:space="0"/>
              <w:right w:val="single" w:color="auto" w:sz="4" w:space="0"/>
            </w:tcBorders>
            <w:shd w:val="clear" w:color="auto" w:fill="auto"/>
            <w:noWrap/>
            <w:vAlign w:val="center"/>
          </w:tcPr>
          <w:p w14:paraId="5001DF96">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220</w:t>
            </w:r>
          </w:p>
        </w:tc>
        <w:tc>
          <w:tcPr>
            <w:tcW w:w="1009" w:type="dxa"/>
            <w:tcBorders>
              <w:top w:val="nil"/>
              <w:left w:val="nil"/>
              <w:bottom w:val="single" w:color="auto" w:sz="4" w:space="0"/>
              <w:right w:val="single" w:color="auto" w:sz="4" w:space="0"/>
            </w:tcBorders>
            <w:shd w:val="clear" w:color="auto" w:fill="auto"/>
            <w:noWrap/>
            <w:vAlign w:val="center"/>
          </w:tcPr>
          <w:p w14:paraId="45095B8D">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220</w:t>
            </w:r>
          </w:p>
        </w:tc>
        <w:tc>
          <w:tcPr>
            <w:tcW w:w="1009" w:type="dxa"/>
            <w:tcBorders>
              <w:top w:val="nil"/>
              <w:left w:val="nil"/>
              <w:bottom w:val="single" w:color="auto" w:sz="4" w:space="0"/>
              <w:right w:val="single" w:color="auto" w:sz="4" w:space="0"/>
            </w:tcBorders>
            <w:shd w:val="clear" w:color="auto" w:fill="auto"/>
            <w:noWrap/>
            <w:vAlign w:val="center"/>
          </w:tcPr>
          <w:p w14:paraId="6109AC3A">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2900</w:t>
            </w:r>
          </w:p>
        </w:tc>
        <w:tc>
          <w:tcPr>
            <w:tcW w:w="955" w:type="dxa"/>
            <w:tcBorders>
              <w:top w:val="nil"/>
              <w:left w:val="nil"/>
              <w:bottom w:val="single" w:color="auto" w:sz="4" w:space="0"/>
              <w:right w:val="single" w:color="auto" w:sz="4" w:space="0"/>
            </w:tcBorders>
            <w:shd w:val="clear" w:color="auto" w:fill="auto"/>
            <w:noWrap/>
            <w:vAlign w:val="center"/>
          </w:tcPr>
          <w:p w14:paraId="37CC15AC">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3120</w:t>
            </w:r>
          </w:p>
        </w:tc>
        <w:tc>
          <w:tcPr>
            <w:tcW w:w="995" w:type="dxa"/>
            <w:tcBorders>
              <w:top w:val="single" w:color="auto" w:sz="4" w:space="0"/>
              <w:left w:val="nil"/>
              <w:bottom w:val="single" w:color="auto" w:sz="4" w:space="0"/>
              <w:right w:val="single" w:color="auto" w:sz="4" w:space="0"/>
            </w:tcBorders>
            <w:shd w:val="clear" w:color="auto" w:fill="auto"/>
            <w:noWrap/>
            <w:vAlign w:val="center"/>
          </w:tcPr>
          <w:p w14:paraId="5AA4D8FB">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37180</w:t>
            </w:r>
          </w:p>
        </w:tc>
        <w:tc>
          <w:tcPr>
            <w:tcW w:w="1011" w:type="dxa"/>
            <w:tcBorders>
              <w:top w:val="single" w:color="auto" w:sz="4" w:space="0"/>
              <w:left w:val="single" w:color="auto" w:sz="4" w:space="0"/>
              <w:bottom w:val="single" w:color="auto" w:sz="4" w:space="0"/>
              <w:right w:val="nil"/>
            </w:tcBorders>
            <w:shd w:val="clear" w:color="auto" w:fill="auto"/>
            <w:noWrap/>
            <w:vAlign w:val="center"/>
          </w:tcPr>
          <w:p w14:paraId="4E81FC82">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40300</w:t>
            </w:r>
          </w:p>
        </w:tc>
      </w:tr>
      <w:tr w14:paraId="199C20D3">
        <w:tblPrEx>
          <w:tblCellMar>
            <w:top w:w="0" w:type="dxa"/>
            <w:left w:w="108" w:type="dxa"/>
            <w:bottom w:w="0" w:type="dxa"/>
            <w:right w:w="108" w:type="dxa"/>
          </w:tblCellMar>
        </w:tblPrEx>
        <w:trPr>
          <w:trHeight w:val="20" w:hRule="atLeast"/>
        </w:trPr>
        <w:tc>
          <w:tcPr>
            <w:tcW w:w="1290" w:type="dxa"/>
            <w:vMerge w:val="restart"/>
            <w:tcBorders>
              <w:top w:val="nil"/>
              <w:left w:val="nil"/>
              <w:bottom w:val="single" w:color="auto" w:sz="4" w:space="0"/>
              <w:right w:val="single" w:color="auto" w:sz="4" w:space="0"/>
            </w:tcBorders>
            <w:shd w:val="clear" w:color="auto" w:fill="auto"/>
            <w:noWrap/>
            <w:vAlign w:val="center"/>
          </w:tcPr>
          <w:p w14:paraId="3631100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中型货车</w:t>
            </w:r>
          </w:p>
        </w:tc>
        <w:tc>
          <w:tcPr>
            <w:tcW w:w="1671" w:type="dxa"/>
            <w:tcBorders>
              <w:top w:val="nil"/>
              <w:left w:val="nil"/>
              <w:bottom w:val="single" w:color="auto" w:sz="4" w:space="0"/>
              <w:right w:val="single" w:color="auto" w:sz="4" w:space="0"/>
            </w:tcBorders>
            <w:shd w:val="clear" w:color="auto" w:fill="auto"/>
            <w:noWrap/>
            <w:vAlign w:val="center"/>
          </w:tcPr>
          <w:p w14:paraId="470E5AB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物流车</w:t>
            </w:r>
          </w:p>
        </w:tc>
        <w:tc>
          <w:tcPr>
            <w:tcW w:w="1132" w:type="dxa"/>
            <w:tcBorders>
              <w:top w:val="nil"/>
              <w:left w:val="nil"/>
              <w:bottom w:val="single" w:color="auto" w:sz="4" w:space="0"/>
              <w:right w:val="single" w:color="auto" w:sz="4" w:space="0"/>
            </w:tcBorders>
            <w:shd w:val="clear" w:color="auto" w:fill="auto"/>
            <w:noWrap/>
            <w:vAlign w:val="center"/>
          </w:tcPr>
          <w:p w14:paraId="3654431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250</w:t>
            </w:r>
          </w:p>
        </w:tc>
        <w:tc>
          <w:tcPr>
            <w:tcW w:w="1009" w:type="dxa"/>
            <w:tcBorders>
              <w:top w:val="nil"/>
              <w:left w:val="nil"/>
              <w:bottom w:val="single" w:color="auto" w:sz="4" w:space="0"/>
              <w:right w:val="single" w:color="auto" w:sz="4" w:space="0"/>
            </w:tcBorders>
            <w:shd w:val="clear" w:color="auto" w:fill="auto"/>
            <w:noWrap/>
            <w:vAlign w:val="center"/>
          </w:tcPr>
          <w:p w14:paraId="1FBDCC2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250</w:t>
            </w:r>
          </w:p>
        </w:tc>
        <w:tc>
          <w:tcPr>
            <w:tcW w:w="1009" w:type="dxa"/>
            <w:tcBorders>
              <w:top w:val="nil"/>
              <w:left w:val="nil"/>
              <w:bottom w:val="single" w:color="auto" w:sz="4" w:space="0"/>
              <w:right w:val="single" w:color="auto" w:sz="4" w:space="0"/>
            </w:tcBorders>
            <w:shd w:val="clear" w:color="auto" w:fill="auto"/>
            <w:noWrap/>
            <w:vAlign w:val="center"/>
          </w:tcPr>
          <w:p w14:paraId="777BBB0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500</w:t>
            </w:r>
          </w:p>
        </w:tc>
        <w:tc>
          <w:tcPr>
            <w:tcW w:w="955" w:type="dxa"/>
            <w:tcBorders>
              <w:top w:val="nil"/>
              <w:left w:val="nil"/>
              <w:bottom w:val="single" w:color="auto" w:sz="4" w:space="0"/>
              <w:right w:val="single" w:color="auto" w:sz="4" w:space="0"/>
            </w:tcBorders>
            <w:shd w:val="clear" w:color="auto" w:fill="auto"/>
            <w:noWrap/>
            <w:vAlign w:val="center"/>
          </w:tcPr>
          <w:p w14:paraId="6779B0F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750</w:t>
            </w:r>
          </w:p>
        </w:tc>
        <w:tc>
          <w:tcPr>
            <w:tcW w:w="995" w:type="dxa"/>
            <w:tcBorders>
              <w:top w:val="single" w:color="auto" w:sz="4" w:space="0"/>
              <w:left w:val="nil"/>
              <w:bottom w:val="single" w:color="auto" w:sz="4" w:space="0"/>
              <w:right w:val="single" w:color="auto" w:sz="4" w:space="0"/>
            </w:tcBorders>
            <w:shd w:val="clear" w:color="auto" w:fill="auto"/>
            <w:noWrap/>
            <w:vAlign w:val="center"/>
          </w:tcPr>
          <w:p w14:paraId="377BD8B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2250</w:t>
            </w:r>
          </w:p>
        </w:tc>
        <w:tc>
          <w:tcPr>
            <w:tcW w:w="1011" w:type="dxa"/>
            <w:tcBorders>
              <w:top w:val="single" w:color="auto" w:sz="4" w:space="0"/>
              <w:left w:val="single" w:color="auto" w:sz="4" w:space="0"/>
              <w:bottom w:val="single" w:color="auto" w:sz="4" w:space="0"/>
              <w:right w:val="nil"/>
            </w:tcBorders>
            <w:shd w:val="clear" w:color="auto" w:fill="auto"/>
            <w:noWrap/>
            <w:vAlign w:val="center"/>
          </w:tcPr>
          <w:p w14:paraId="3FFD890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3000</w:t>
            </w:r>
          </w:p>
        </w:tc>
      </w:tr>
      <w:tr w14:paraId="04E03685">
        <w:tblPrEx>
          <w:tblCellMar>
            <w:top w:w="0" w:type="dxa"/>
            <w:left w:w="108" w:type="dxa"/>
            <w:bottom w:w="0" w:type="dxa"/>
            <w:right w:w="108" w:type="dxa"/>
          </w:tblCellMar>
        </w:tblPrEx>
        <w:trPr>
          <w:trHeight w:val="20" w:hRule="atLeast"/>
        </w:trPr>
        <w:tc>
          <w:tcPr>
            <w:tcW w:w="1290" w:type="dxa"/>
            <w:vMerge w:val="continue"/>
            <w:tcBorders>
              <w:top w:val="nil"/>
              <w:left w:val="nil"/>
              <w:bottom w:val="single" w:color="auto" w:sz="4" w:space="0"/>
              <w:right w:val="single" w:color="auto" w:sz="4" w:space="0"/>
            </w:tcBorders>
            <w:shd w:val="clear" w:color="auto" w:fill="auto"/>
            <w:vAlign w:val="center"/>
          </w:tcPr>
          <w:p w14:paraId="1C783140">
            <w:pPr>
              <w:widowControl/>
              <w:jc w:val="left"/>
              <w:rPr>
                <w:rFonts w:ascii="Times New Roman" w:hAnsi="Times New Roman" w:eastAsia="仿宋_GB2312" w:cs="Times New Roman"/>
                <w:kern w:val="0"/>
                <w:sz w:val="24"/>
                <w:szCs w:val="24"/>
              </w:rPr>
            </w:pPr>
          </w:p>
        </w:tc>
        <w:tc>
          <w:tcPr>
            <w:tcW w:w="1671" w:type="dxa"/>
            <w:tcBorders>
              <w:top w:val="nil"/>
              <w:left w:val="nil"/>
              <w:bottom w:val="single" w:color="auto" w:sz="4" w:space="0"/>
              <w:right w:val="single" w:color="auto" w:sz="4" w:space="0"/>
            </w:tcBorders>
            <w:shd w:val="clear" w:color="auto" w:fill="auto"/>
            <w:noWrap/>
            <w:vAlign w:val="center"/>
          </w:tcPr>
          <w:p w14:paraId="2AC50A09">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市政车辆</w:t>
            </w:r>
          </w:p>
        </w:tc>
        <w:tc>
          <w:tcPr>
            <w:tcW w:w="1132" w:type="dxa"/>
            <w:tcBorders>
              <w:top w:val="nil"/>
              <w:left w:val="nil"/>
              <w:bottom w:val="single" w:color="auto" w:sz="4" w:space="0"/>
              <w:right w:val="single" w:color="auto" w:sz="4" w:space="0"/>
            </w:tcBorders>
            <w:shd w:val="clear" w:color="auto" w:fill="auto"/>
            <w:noWrap/>
            <w:vAlign w:val="center"/>
          </w:tcPr>
          <w:p w14:paraId="6A75CBF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35</w:t>
            </w:r>
          </w:p>
        </w:tc>
        <w:tc>
          <w:tcPr>
            <w:tcW w:w="1009" w:type="dxa"/>
            <w:tcBorders>
              <w:top w:val="nil"/>
              <w:left w:val="nil"/>
              <w:bottom w:val="single" w:color="auto" w:sz="4" w:space="0"/>
              <w:right w:val="single" w:color="auto" w:sz="4" w:space="0"/>
            </w:tcBorders>
            <w:shd w:val="clear" w:color="auto" w:fill="auto"/>
            <w:noWrap/>
            <w:vAlign w:val="center"/>
          </w:tcPr>
          <w:p w14:paraId="74CBECA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35</w:t>
            </w:r>
          </w:p>
        </w:tc>
        <w:tc>
          <w:tcPr>
            <w:tcW w:w="1009" w:type="dxa"/>
            <w:tcBorders>
              <w:top w:val="nil"/>
              <w:left w:val="nil"/>
              <w:bottom w:val="single" w:color="auto" w:sz="4" w:space="0"/>
              <w:right w:val="single" w:color="auto" w:sz="4" w:space="0"/>
            </w:tcBorders>
            <w:shd w:val="clear" w:color="auto" w:fill="auto"/>
            <w:noWrap/>
            <w:vAlign w:val="center"/>
          </w:tcPr>
          <w:p w14:paraId="3CCDF49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45</w:t>
            </w:r>
          </w:p>
        </w:tc>
        <w:tc>
          <w:tcPr>
            <w:tcW w:w="955" w:type="dxa"/>
            <w:tcBorders>
              <w:top w:val="nil"/>
              <w:left w:val="nil"/>
              <w:bottom w:val="single" w:color="auto" w:sz="4" w:space="0"/>
              <w:right w:val="single" w:color="auto" w:sz="4" w:space="0"/>
            </w:tcBorders>
            <w:shd w:val="clear" w:color="auto" w:fill="auto"/>
            <w:noWrap/>
            <w:vAlign w:val="center"/>
          </w:tcPr>
          <w:p w14:paraId="3DD8F6F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80</w:t>
            </w:r>
          </w:p>
        </w:tc>
        <w:tc>
          <w:tcPr>
            <w:tcW w:w="995" w:type="dxa"/>
            <w:tcBorders>
              <w:top w:val="single" w:color="auto" w:sz="4" w:space="0"/>
              <w:left w:val="nil"/>
              <w:bottom w:val="single" w:color="auto" w:sz="4" w:space="0"/>
              <w:right w:val="single" w:color="auto" w:sz="4" w:space="0"/>
            </w:tcBorders>
            <w:shd w:val="clear" w:color="auto" w:fill="auto"/>
            <w:noWrap/>
            <w:vAlign w:val="center"/>
          </w:tcPr>
          <w:p w14:paraId="0B6E70E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60</w:t>
            </w:r>
          </w:p>
        </w:tc>
        <w:tc>
          <w:tcPr>
            <w:tcW w:w="1011" w:type="dxa"/>
            <w:tcBorders>
              <w:top w:val="single" w:color="auto" w:sz="4" w:space="0"/>
              <w:left w:val="single" w:color="auto" w:sz="4" w:space="0"/>
              <w:bottom w:val="single" w:color="auto" w:sz="4" w:space="0"/>
              <w:right w:val="nil"/>
            </w:tcBorders>
            <w:shd w:val="clear" w:color="auto" w:fill="auto"/>
            <w:noWrap/>
            <w:vAlign w:val="center"/>
          </w:tcPr>
          <w:p w14:paraId="28103AB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140</w:t>
            </w:r>
          </w:p>
        </w:tc>
      </w:tr>
      <w:tr w14:paraId="532C5AFF">
        <w:tblPrEx>
          <w:tblCellMar>
            <w:top w:w="0" w:type="dxa"/>
            <w:left w:w="108" w:type="dxa"/>
            <w:bottom w:w="0" w:type="dxa"/>
            <w:right w:w="108" w:type="dxa"/>
          </w:tblCellMar>
        </w:tblPrEx>
        <w:trPr>
          <w:trHeight w:val="20" w:hRule="atLeast"/>
        </w:trPr>
        <w:tc>
          <w:tcPr>
            <w:tcW w:w="2961" w:type="dxa"/>
            <w:gridSpan w:val="2"/>
            <w:tcBorders>
              <w:top w:val="single" w:color="auto" w:sz="4" w:space="0"/>
              <w:left w:val="nil"/>
              <w:bottom w:val="single" w:color="auto" w:sz="4" w:space="0"/>
              <w:right w:val="single" w:color="auto" w:sz="4" w:space="0"/>
            </w:tcBorders>
            <w:shd w:val="clear" w:color="auto" w:fill="auto"/>
            <w:noWrap/>
            <w:vAlign w:val="center"/>
          </w:tcPr>
          <w:p w14:paraId="2F4DCB06">
            <w:pPr>
              <w:widowControl/>
              <w:jc w:val="left"/>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氢能源中型货车合计</w:t>
            </w:r>
          </w:p>
        </w:tc>
        <w:tc>
          <w:tcPr>
            <w:tcW w:w="1132" w:type="dxa"/>
            <w:tcBorders>
              <w:top w:val="nil"/>
              <w:left w:val="nil"/>
              <w:bottom w:val="single" w:color="auto" w:sz="4" w:space="0"/>
              <w:right w:val="single" w:color="auto" w:sz="4" w:space="0"/>
            </w:tcBorders>
            <w:shd w:val="clear" w:color="auto" w:fill="auto"/>
            <w:noWrap/>
            <w:vAlign w:val="center"/>
          </w:tcPr>
          <w:p w14:paraId="0CE91156">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285</w:t>
            </w:r>
          </w:p>
        </w:tc>
        <w:tc>
          <w:tcPr>
            <w:tcW w:w="1009" w:type="dxa"/>
            <w:tcBorders>
              <w:top w:val="nil"/>
              <w:left w:val="nil"/>
              <w:bottom w:val="single" w:color="auto" w:sz="4" w:space="0"/>
              <w:right w:val="single" w:color="auto" w:sz="4" w:space="0"/>
            </w:tcBorders>
            <w:shd w:val="clear" w:color="auto" w:fill="auto"/>
            <w:noWrap/>
            <w:vAlign w:val="center"/>
          </w:tcPr>
          <w:p w14:paraId="606118BC">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285</w:t>
            </w:r>
          </w:p>
        </w:tc>
        <w:tc>
          <w:tcPr>
            <w:tcW w:w="1009" w:type="dxa"/>
            <w:tcBorders>
              <w:top w:val="nil"/>
              <w:left w:val="nil"/>
              <w:bottom w:val="single" w:color="auto" w:sz="4" w:space="0"/>
              <w:right w:val="single" w:color="auto" w:sz="4" w:space="0"/>
            </w:tcBorders>
            <w:shd w:val="clear" w:color="auto" w:fill="auto"/>
            <w:noWrap/>
            <w:vAlign w:val="center"/>
          </w:tcPr>
          <w:p w14:paraId="73361AAE">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545</w:t>
            </w:r>
          </w:p>
        </w:tc>
        <w:tc>
          <w:tcPr>
            <w:tcW w:w="955" w:type="dxa"/>
            <w:tcBorders>
              <w:top w:val="nil"/>
              <w:left w:val="nil"/>
              <w:bottom w:val="single" w:color="auto" w:sz="4" w:space="0"/>
              <w:right w:val="single" w:color="auto" w:sz="4" w:space="0"/>
            </w:tcBorders>
            <w:shd w:val="clear" w:color="auto" w:fill="auto"/>
            <w:noWrap/>
            <w:vAlign w:val="center"/>
          </w:tcPr>
          <w:p w14:paraId="750254F1">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830</w:t>
            </w:r>
          </w:p>
        </w:tc>
        <w:tc>
          <w:tcPr>
            <w:tcW w:w="995" w:type="dxa"/>
            <w:tcBorders>
              <w:top w:val="single" w:color="auto" w:sz="4" w:space="0"/>
              <w:left w:val="nil"/>
              <w:bottom w:val="single" w:color="auto" w:sz="4" w:space="0"/>
              <w:right w:val="single" w:color="auto" w:sz="4" w:space="0"/>
            </w:tcBorders>
            <w:shd w:val="clear" w:color="auto" w:fill="auto"/>
            <w:noWrap/>
            <w:vAlign w:val="center"/>
          </w:tcPr>
          <w:p w14:paraId="635FE9C6">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2310</w:t>
            </w:r>
          </w:p>
        </w:tc>
        <w:tc>
          <w:tcPr>
            <w:tcW w:w="1011" w:type="dxa"/>
            <w:tcBorders>
              <w:top w:val="single" w:color="auto" w:sz="4" w:space="0"/>
              <w:left w:val="single" w:color="auto" w:sz="4" w:space="0"/>
              <w:bottom w:val="single" w:color="auto" w:sz="4" w:space="0"/>
              <w:right w:val="nil"/>
            </w:tcBorders>
            <w:shd w:val="clear" w:color="auto" w:fill="auto"/>
            <w:noWrap/>
            <w:vAlign w:val="center"/>
          </w:tcPr>
          <w:p w14:paraId="5E38A37E">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3140</w:t>
            </w:r>
          </w:p>
        </w:tc>
      </w:tr>
      <w:tr w14:paraId="5E779C84">
        <w:tblPrEx>
          <w:tblCellMar>
            <w:top w:w="0" w:type="dxa"/>
            <w:left w:w="108" w:type="dxa"/>
            <w:bottom w:w="0" w:type="dxa"/>
            <w:right w:w="108" w:type="dxa"/>
          </w:tblCellMar>
        </w:tblPrEx>
        <w:trPr>
          <w:trHeight w:val="20" w:hRule="atLeast"/>
        </w:trPr>
        <w:tc>
          <w:tcPr>
            <w:tcW w:w="1290" w:type="dxa"/>
            <w:vMerge w:val="restart"/>
            <w:tcBorders>
              <w:top w:val="nil"/>
              <w:left w:val="nil"/>
              <w:bottom w:val="single" w:color="auto" w:sz="4" w:space="0"/>
              <w:right w:val="single" w:color="auto" w:sz="4" w:space="0"/>
            </w:tcBorders>
            <w:shd w:val="clear" w:color="auto" w:fill="auto"/>
            <w:noWrap/>
            <w:vAlign w:val="center"/>
          </w:tcPr>
          <w:p w14:paraId="72A4D81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轻型货车</w:t>
            </w:r>
          </w:p>
        </w:tc>
        <w:tc>
          <w:tcPr>
            <w:tcW w:w="1671" w:type="dxa"/>
            <w:tcBorders>
              <w:top w:val="nil"/>
              <w:left w:val="nil"/>
              <w:bottom w:val="single" w:color="auto" w:sz="4" w:space="0"/>
              <w:right w:val="single" w:color="auto" w:sz="4" w:space="0"/>
            </w:tcBorders>
            <w:shd w:val="clear" w:color="auto" w:fill="auto"/>
            <w:noWrap/>
            <w:vAlign w:val="center"/>
          </w:tcPr>
          <w:p w14:paraId="70B1E1C3">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物流车(</w:t>
            </w:r>
            <w:r>
              <w:rPr>
                <w:rFonts w:hint="eastAsia" w:ascii="Times New Roman" w:hAnsi="Times New Roman" w:eastAsia="仿宋_GB2312" w:cs="Times New Roman"/>
                <w:kern w:val="0"/>
                <w:sz w:val="24"/>
                <w:szCs w:val="24"/>
              </w:rPr>
              <w:t>市</w:t>
            </w:r>
            <w:r>
              <w:rPr>
                <w:rFonts w:ascii="Times New Roman" w:hAnsi="Times New Roman" w:eastAsia="仿宋_GB2312" w:cs="Times New Roman"/>
                <w:kern w:val="0"/>
                <w:sz w:val="24"/>
                <w:szCs w:val="24"/>
              </w:rPr>
              <w:t>内)</w:t>
            </w:r>
          </w:p>
        </w:tc>
        <w:tc>
          <w:tcPr>
            <w:tcW w:w="1132" w:type="dxa"/>
            <w:tcBorders>
              <w:top w:val="nil"/>
              <w:left w:val="nil"/>
              <w:bottom w:val="single" w:color="auto" w:sz="4" w:space="0"/>
              <w:right w:val="single" w:color="auto" w:sz="4" w:space="0"/>
            </w:tcBorders>
            <w:shd w:val="clear" w:color="auto" w:fill="auto"/>
            <w:noWrap/>
            <w:vAlign w:val="center"/>
          </w:tcPr>
          <w:p w14:paraId="3080E2F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178</w:t>
            </w:r>
          </w:p>
        </w:tc>
        <w:tc>
          <w:tcPr>
            <w:tcW w:w="1009" w:type="dxa"/>
            <w:tcBorders>
              <w:top w:val="nil"/>
              <w:left w:val="nil"/>
              <w:bottom w:val="single" w:color="auto" w:sz="4" w:space="0"/>
              <w:right w:val="single" w:color="auto" w:sz="4" w:space="0"/>
            </w:tcBorders>
            <w:shd w:val="clear" w:color="auto" w:fill="auto"/>
            <w:noWrap/>
            <w:vAlign w:val="center"/>
          </w:tcPr>
          <w:p w14:paraId="4D054F3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200</w:t>
            </w:r>
          </w:p>
        </w:tc>
        <w:tc>
          <w:tcPr>
            <w:tcW w:w="1009" w:type="dxa"/>
            <w:tcBorders>
              <w:top w:val="nil"/>
              <w:left w:val="nil"/>
              <w:bottom w:val="single" w:color="auto" w:sz="4" w:space="0"/>
              <w:right w:val="single" w:color="auto" w:sz="4" w:space="0"/>
            </w:tcBorders>
            <w:shd w:val="clear" w:color="auto" w:fill="auto"/>
            <w:noWrap/>
            <w:vAlign w:val="center"/>
          </w:tcPr>
          <w:p w14:paraId="5BBB193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600</w:t>
            </w:r>
          </w:p>
        </w:tc>
        <w:tc>
          <w:tcPr>
            <w:tcW w:w="955" w:type="dxa"/>
            <w:tcBorders>
              <w:top w:val="nil"/>
              <w:left w:val="nil"/>
              <w:bottom w:val="single" w:color="auto" w:sz="4" w:space="0"/>
              <w:right w:val="single" w:color="auto" w:sz="4" w:space="0"/>
            </w:tcBorders>
            <w:shd w:val="clear" w:color="auto" w:fill="auto"/>
            <w:noWrap/>
            <w:vAlign w:val="center"/>
          </w:tcPr>
          <w:p w14:paraId="6F220BE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800</w:t>
            </w:r>
          </w:p>
        </w:tc>
        <w:tc>
          <w:tcPr>
            <w:tcW w:w="995" w:type="dxa"/>
            <w:tcBorders>
              <w:top w:val="single" w:color="auto" w:sz="4" w:space="0"/>
              <w:left w:val="nil"/>
              <w:bottom w:val="single" w:color="auto" w:sz="4" w:space="0"/>
              <w:right w:val="single" w:color="auto" w:sz="4" w:space="0"/>
            </w:tcBorders>
            <w:shd w:val="clear" w:color="auto" w:fill="auto"/>
            <w:noWrap/>
            <w:vAlign w:val="center"/>
          </w:tcPr>
          <w:p w14:paraId="73D4658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7200</w:t>
            </w:r>
          </w:p>
        </w:tc>
        <w:tc>
          <w:tcPr>
            <w:tcW w:w="1011" w:type="dxa"/>
            <w:tcBorders>
              <w:top w:val="single" w:color="auto" w:sz="4" w:space="0"/>
              <w:left w:val="single" w:color="auto" w:sz="4" w:space="0"/>
              <w:bottom w:val="single" w:color="auto" w:sz="4" w:space="0"/>
              <w:right w:val="nil"/>
            </w:tcBorders>
            <w:shd w:val="clear" w:color="auto" w:fill="auto"/>
            <w:noWrap/>
            <w:vAlign w:val="center"/>
          </w:tcPr>
          <w:p w14:paraId="5A7A925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8000</w:t>
            </w:r>
          </w:p>
        </w:tc>
      </w:tr>
      <w:tr w14:paraId="4558E5D7">
        <w:tblPrEx>
          <w:tblCellMar>
            <w:top w:w="0" w:type="dxa"/>
            <w:left w:w="108" w:type="dxa"/>
            <w:bottom w:w="0" w:type="dxa"/>
            <w:right w:w="108" w:type="dxa"/>
          </w:tblCellMar>
        </w:tblPrEx>
        <w:trPr>
          <w:trHeight w:val="20" w:hRule="atLeast"/>
        </w:trPr>
        <w:tc>
          <w:tcPr>
            <w:tcW w:w="1290" w:type="dxa"/>
            <w:vMerge w:val="continue"/>
            <w:tcBorders>
              <w:top w:val="nil"/>
              <w:left w:val="nil"/>
              <w:bottom w:val="single" w:color="auto" w:sz="4" w:space="0"/>
              <w:right w:val="single" w:color="auto" w:sz="4" w:space="0"/>
            </w:tcBorders>
            <w:shd w:val="clear" w:color="auto" w:fill="auto"/>
            <w:vAlign w:val="center"/>
          </w:tcPr>
          <w:p w14:paraId="4D75AA94">
            <w:pPr>
              <w:widowControl/>
              <w:jc w:val="left"/>
              <w:rPr>
                <w:rFonts w:ascii="Times New Roman" w:hAnsi="Times New Roman" w:eastAsia="仿宋_GB2312" w:cs="Times New Roman"/>
                <w:kern w:val="0"/>
                <w:sz w:val="24"/>
                <w:szCs w:val="24"/>
              </w:rPr>
            </w:pPr>
          </w:p>
        </w:tc>
        <w:tc>
          <w:tcPr>
            <w:tcW w:w="1671" w:type="dxa"/>
            <w:tcBorders>
              <w:top w:val="nil"/>
              <w:left w:val="nil"/>
              <w:bottom w:val="single" w:color="auto" w:sz="4" w:space="0"/>
              <w:right w:val="single" w:color="auto" w:sz="4" w:space="0"/>
            </w:tcBorders>
            <w:shd w:val="clear" w:color="auto" w:fill="auto"/>
            <w:noWrap/>
            <w:vAlign w:val="center"/>
          </w:tcPr>
          <w:p w14:paraId="6601C0A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冷链车</w:t>
            </w:r>
          </w:p>
        </w:tc>
        <w:tc>
          <w:tcPr>
            <w:tcW w:w="1132" w:type="dxa"/>
            <w:tcBorders>
              <w:top w:val="nil"/>
              <w:left w:val="nil"/>
              <w:bottom w:val="single" w:color="auto" w:sz="4" w:space="0"/>
              <w:right w:val="single" w:color="auto" w:sz="4" w:space="0"/>
            </w:tcBorders>
            <w:shd w:val="clear" w:color="auto" w:fill="auto"/>
            <w:noWrap/>
            <w:vAlign w:val="center"/>
          </w:tcPr>
          <w:p w14:paraId="3A49A16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w:t>
            </w:r>
          </w:p>
        </w:tc>
        <w:tc>
          <w:tcPr>
            <w:tcW w:w="1009" w:type="dxa"/>
            <w:tcBorders>
              <w:top w:val="nil"/>
              <w:left w:val="nil"/>
              <w:bottom w:val="single" w:color="auto" w:sz="4" w:space="0"/>
              <w:right w:val="single" w:color="auto" w:sz="4" w:space="0"/>
            </w:tcBorders>
            <w:shd w:val="clear" w:color="auto" w:fill="auto"/>
            <w:noWrap/>
            <w:vAlign w:val="center"/>
          </w:tcPr>
          <w:p w14:paraId="61EEB56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w:t>
            </w:r>
          </w:p>
        </w:tc>
        <w:tc>
          <w:tcPr>
            <w:tcW w:w="1009" w:type="dxa"/>
            <w:tcBorders>
              <w:top w:val="nil"/>
              <w:left w:val="nil"/>
              <w:bottom w:val="single" w:color="auto" w:sz="4" w:space="0"/>
              <w:right w:val="single" w:color="auto" w:sz="4" w:space="0"/>
            </w:tcBorders>
            <w:shd w:val="clear" w:color="auto" w:fill="auto"/>
            <w:noWrap/>
            <w:vAlign w:val="center"/>
          </w:tcPr>
          <w:p w14:paraId="7567262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w:t>
            </w:r>
          </w:p>
        </w:tc>
        <w:tc>
          <w:tcPr>
            <w:tcW w:w="955" w:type="dxa"/>
            <w:tcBorders>
              <w:top w:val="nil"/>
              <w:left w:val="nil"/>
              <w:bottom w:val="single" w:color="auto" w:sz="4" w:space="0"/>
              <w:right w:val="single" w:color="auto" w:sz="4" w:space="0"/>
            </w:tcBorders>
            <w:shd w:val="clear" w:color="auto" w:fill="auto"/>
            <w:noWrap/>
            <w:vAlign w:val="center"/>
          </w:tcPr>
          <w:p w14:paraId="7D39BEC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w:t>
            </w:r>
          </w:p>
        </w:tc>
        <w:tc>
          <w:tcPr>
            <w:tcW w:w="995" w:type="dxa"/>
            <w:tcBorders>
              <w:top w:val="single" w:color="auto" w:sz="4" w:space="0"/>
              <w:left w:val="nil"/>
              <w:bottom w:val="single" w:color="auto" w:sz="4" w:space="0"/>
              <w:right w:val="single" w:color="auto" w:sz="4" w:space="0"/>
            </w:tcBorders>
            <w:shd w:val="clear" w:color="auto" w:fill="auto"/>
            <w:noWrap/>
            <w:vAlign w:val="center"/>
          </w:tcPr>
          <w:p w14:paraId="7544177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80</w:t>
            </w:r>
          </w:p>
        </w:tc>
        <w:tc>
          <w:tcPr>
            <w:tcW w:w="1011" w:type="dxa"/>
            <w:tcBorders>
              <w:top w:val="single" w:color="auto" w:sz="4" w:space="0"/>
              <w:left w:val="single" w:color="auto" w:sz="4" w:space="0"/>
              <w:bottom w:val="single" w:color="auto" w:sz="4" w:space="0"/>
              <w:right w:val="nil"/>
            </w:tcBorders>
            <w:shd w:val="clear" w:color="auto" w:fill="auto"/>
            <w:noWrap/>
            <w:vAlign w:val="center"/>
          </w:tcPr>
          <w:p w14:paraId="3249A57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100</w:t>
            </w:r>
          </w:p>
        </w:tc>
      </w:tr>
      <w:tr w14:paraId="0F537C35">
        <w:tblPrEx>
          <w:tblCellMar>
            <w:top w:w="0" w:type="dxa"/>
            <w:left w:w="108" w:type="dxa"/>
            <w:bottom w:w="0" w:type="dxa"/>
            <w:right w:w="108" w:type="dxa"/>
          </w:tblCellMar>
        </w:tblPrEx>
        <w:trPr>
          <w:trHeight w:val="20" w:hRule="atLeast"/>
        </w:trPr>
        <w:tc>
          <w:tcPr>
            <w:tcW w:w="1290" w:type="dxa"/>
            <w:vMerge w:val="continue"/>
            <w:tcBorders>
              <w:top w:val="nil"/>
              <w:left w:val="nil"/>
              <w:bottom w:val="single" w:color="auto" w:sz="4" w:space="0"/>
              <w:right w:val="single" w:color="auto" w:sz="4" w:space="0"/>
            </w:tcBorders>
            <w:shd w:val="clear" w:color="auto" w:fill="auto"/>
            <w:vAlign w:val="center"/>
          </w:tcPr>
          <w:p w14:paraId="367B27BA">
            <w:pPr>
              <w:widowControl/>
              <w:jc w:val="left"/>
              <w:rPr>
                <w:rFonts w:ascii="Times New Roman" w:hAnsi="Times New Roman" w:eastAsia="仿宋_GB2312" w:cs="Times New Roman"/>
                <w:kern w:val="0"/>
                <w:sz w:val="24"/>
                <w:szCs w:val="24"/>
              </w:rPr>
            </w:pPr>
          </w:p>
        </w:tc>
        <w:tc>
          <w:tcPr>
            <w:tcW w:w="1671" w:type="dxa"/>
            <w:tcBorders>
              <w:top w:val="nil"/>
              <w:left w:val="nil"/>
              <w:bottom w:val="single" w:color="auto" w:sz="4" w:space="0"/>
              <w:right w:val="single" w:color="auto" w:sz="4" w:space="0"/>
            </w:tcBorders>
            <w:shd w:val="clear" w:color="auto" w:fill="auto"/>
            <w:noWrap/>
            <w:vAlign w:val="center"/>
          </w:tcPr>
          <w:p w14:paraId="5BFC6E2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市政车辆</w:t>
            </w:r>
          </w:p>
        </w:tc>
        <w:tc>
          <w:tcPr>
            <w:tcW w:w="1132" w:type="dxa"/>
            <w:tcBorders>
              <w:top w:val="nil"/>
              <w:left w:val="nil"/>
              <w:bottom w:val="single" w:color="auto" w:sz="4" w:space="0"/>
              <w:right w:val="single" w:color="auto" w:sz="4" w:space="0"/>
            </w:tcBorders>
            <w:shd w:val="clear" w:color="auto" w:fill="auto"/>
            <w:noWrap/>
            <w:vAlign w:val="center"/>
          </w:tcPr>
          <w:p w14:paraId="50C0D25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w:t>
            </w:r>
          </w:p>
        </w:tc>
        <w:tc>
          <w:tcPr>
            <w:tcW w:w="1009" w:type="dxa"/>
            <w:tcBorders>
              <w:top w:val="nil"/>
              <w:left w:val="nil"/>
              <w:bottom w:val="single" w:color="auto" w:sz="4" w:space="0"/>
              <w:right w:val="single" w:color="auto" w:sz="4" w:space="0"/>
            </w:tcBorders>
            <w:shd w:val="clear" w:color="auto" w:fill="auto"/>
            <w:noWrap/>
            <w:vAlign w:val="center"/>
          </w:tcPr>
          <w:p w14:paraId="4CE0FC5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w:t>
            </w:r>
          </w:p>
        </w:tc>
        <w:tc>
          <w:tcPr>
            <w:tcW w:w="1009" w:type="dxa"/>
            <w:tcBorders>
              <w:top w:val="nil"/>
              <w:left w:val="nil"/>
              <w:bottom w:val="single" w:color="auto" w:sz="4" w:space="0"/>
              <w:right w:val="single" w:color="auto" w:sz="4" w:space="0"/>
            </w:tcBorders>
            <w:shd w:val="clear" w:color="auto" w:fill="auto"/>
            <w:noWrap/>
            <w:vAlign w:val="center"/>
          </w:tcPr>
          <w:p w14:paraId="5D1A03F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35</w:t>
            </w:r>
          </w:p>
        </w:tc>
        <w:tc>
          <w:tcPr>
            <w:tcW w:w="955" w:type="dxa"/>
            <w:tcBorders>
              <w:top w:val="nil"/>
              <w:left w:val="nil"/>
              <w:bottom w:val="single" w:color="auto" w:sz="4" w:space="0"/>
              <w:right w:val="single" w:color="auto" w:sz="4" w:space="0"/>
            </w:tcBorders>
            <w:shd w:val="clear" w:color="auto" w:fill="auto"/>
            <w:noWrap/>
            <w:vAlign w:val="center"/>
          </w:tcPr>
          <w:p w14:paraId="06F6F90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w:t>
            </w:r>
          </w:p>
        </w:tc>
        <w:tc>
          <w:tcPr>
            <w:tcW w:w="995" w:type="dxa"/>
            <w:tcBorders>
              <w:top w:val="single" w:color="auto" w:sz="4" w:space="0"/>
              <w:left w:val="nil"/>
              <w:bottom w:val="single" w:color="auto" w:sz="4" w:space="0"/>
              <w:right w:val="single" w:color="auto" w:sz="4" w:space="0"/>
            </w:tcBorders>
            <w:shd w:val="clear" w:color="auto" w:fill="auto"/>
            <w:noWrap/>
            <w:vAlign w:val="center"/>
          </w:tcPr>
          <w:p w14:paraId="0865280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50</w:t>
            </w:r>
          </w:p>
        </w:tc>
        <w:tc>
          <w:tcPr>
            <w:tcW w:w="1011" w:type="dxa"/>
            <w:tcBorders>
              <w:top w:val="single" w:color="auto" w:sz="4" w:space="0"/>
              <w:left w:val="single" w:color="auto" w:sz="4" w:space="0"/>
              <w:bottom w:val="single" w:color="auto" w:sz="4" w:space="0"/>
              <w:right w:val="nil"/>
            </w:tcBorders>
            <w:shd w:val="clear" w:color="auto" w:fill="auto"/>
            <w:noWrap/>
            <w:vAlign w:val="center"/>
          </w:tcPr>
          <w:p w14:paraId="0CA4F85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100</w:t>
            </w:r>
          </w:p>
        </w:tc>
      </w:tr>
      <w:tr w14:paraId="223B74D1">
        <w:tblPrEx>
          <w:tblCellMar>
            <w:top w:w="0" w:type="dxa"/>
            <w:left w:w="108" w:type="dxa"/>
            <w:bottom w:w="0" w:type="dxa"/>
            <w:right w:w="108" w:type="dxa"/>
          </w:tblCellMar>
        </w:tblPrEx>
        <w:trPr>
          <w:trHeight w:val="20" w:hRule="atLeast"/>
        </w:trPr>
        <w:tc>
          <w:tcPr>
            <w:tcW w:w="2961" w:type="dxa"/>
            <w:gridSpan w:val="2"/>
            <w:tcBorders>
              <w:top w:val="single" w:color="auto" w:sz="4" w:space="0"/>
              <w:left w:val="nil"/>
              <w:bottom w:val="single" w:color="auto" w:sz="4" w:space="0"/>
              <w:right w:val="single" w:color="auto" w:sz="4" w:space="0"/>
            </w:tcBorders>
            <w:shd w:val="clear" w:color="auto" w:fill="auto"/>
            <w:noWrap/>
            <w:vAlign w:val="center"/>
          </w:tcPr>
          <w:p w14:paraId="788D2688">
            <w:pPr>
              <w:widowControl/>
              <w:jc w:val="left"/>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氢能源轻型货车合计</w:t>
            </w:r>
          </w:p>
        </w:tc>
        <w:tc>
          <w:tcPr>
            <w:tcW w:w="1132" w:type="dxa"/>
            <w:tcBorders>
              <w:top w:val="nil"/>
              <w:left w:val="nil"/>
              <w:bottom w:val="single" w:color="auto" w:sz="4" w:space="0"/>
              <w:right w:val="single" w:color="auto" w:sz="4" w:space="0"/>
            </w:tcBorders>
            <w:shd w:val="clear" w:color="auto" w:fill="auto"/>
            <w:noWrap/>
            <w:vAlign w:val="center"/>
          </w:tcPr>
          <w:p w14:paraId="009A4393">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198</w:t>
            </w:r>
          </w:p>
        </w:tc>
        <w:tc>
          <w:tcPr>
            <w:tcW w:w="1009" w:type="dxa"/>
            <w:tcBorders>
              <w:top w:val="nil"/>
              <w:left w:val="nil"/>
              <w:bottom w:val="single" w:color="auto" w:sz="4" w:space="0"/>
              <w:right w:val="single" w:color="auto" w:sz="4" w:space="0"/>
            </w:tcBorders>
            <w:shd w:val="clear" w:color="auto" w:fill="auto"/>
            <w:noWrap/>
            <w:vAlign w:val="center"/>
          </w:tcPr>
          <w:p w14:paraId="1BAAE666">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220</w:t>
            </w:r>
          </w:p>
        </w:tc>
        <w:tc>
          <w:tcPr>
            <w:tcW w:w="1009" w:type="dxa"/>
            <w:tcBorders>
              <w:top w:val="nil"/>
              <w:left w:val="nil"/>
              <w:bottom w:val="single" w:color="auto" w:sz="4" w:space="0"/>
              <w:right w:val="single" w:color="auto" w:sz="4" w:space="0"/>
            </w:tcBorders>
            <w:shd w:val="clear" w:color="auto" w:fill="auto"/>
            <w:noWrap/>
            <w:vAlign w:val="center"/>
          </w:tcPr>
          <w:p w14:paraId="0764130C">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650</w:t>
            </w:r>
          </w:p>
        </w:tc>
        <w:tc>
          <w:tcPr>
            <w:tcW w:w="955" w:type="dxa"/>
            <w:tcBorders>
              <w:top w:val="nil"/>
              <w:left w:val="nil"/>
              <w:bottom w:val="single" w:color="auto" w:sz="4" w:space="0"/>
              <w:right w:val="single" w:color="auto" w:sz="4" w:space="0"/>
            </w:tcBorders>
            <w:shd w:val="clear" w:color="auto" w:fill="auto"/>
            <w:noWrap/>
            <w:vAlign w:val="center"/>
          </w:tcPr>
          <w:p w14:paraId="37D0F76D">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870</w:t>
            </w:r>
          </w:p>
        </w:tc>
        <w:tc>
          <w:tcPr>
            <w:tcW w:w="995" w:type="dxa"/>
            <w:tcBorders>
              <w:top w:val="single" w:color="auto" w:sz="4" w:space="0"/>
              <w:left w:val="nil"/>
              <w:bottom w:val="single" w:color="auto" w:sz="4" w:space="0"/>
              <w:right w:val="single" w:color="auto" w:sz="4" w:space="0"/>
            </w:tcBorders>
            <w:shd w:val="clear" w:color="auto" w:fill="auto"/>
            <w:noWrap/>
            <w:vAlign w:val="center"/>
          </w:tcPr>
          <w:p w14:paraId="43C17CDB">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7330</w:t>
            </w:r>
          </w:p>
        </w:tc>
        <w:tc>
          <w:tcPr>
            <w:tcW w:w="1011" w:type="dxa"/>
            <w:tcBorders>
              <w:top w:val="single" w:color="auto" w:sz="4" w:space="0"/>
              <w:left w:val="single" w:color="auto" w:sz="4" w:space="0"/>
              <w:bottom w:val="single" w:color="auto" w:sz="4" w:space="0"/>
              <w:right w:val="nil"/>
            </w:tcBorders>
            <w:shd w:val="clear" w:color="auto" w:fill="auto"/>
            <w:noWrap/>
            <w:vAlign w:val="center"/>
          </w:tcPr>
          <w:p w14:paraId="20F73422">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8200</w:t>
            </w:r>
          </w:p>
        </w:tc>
      </w:tr>
      <w:tr w14:paraId="1063DAE5">
        <w:tblPrEx>
          <w:tblCellMar>
            <w:top w:w="0" w:type="dxa"/>
            <w:left w:w="108" w:type="dxa"/>
            <w:bottom w:w="0" w:type="dxa"/>
            <w:right w:w="108" w:type="dxa"/>
          </w:tblCellMar>
        </w:tblPrEx>
        <w:trPr>
          <w:trHeight w:val="20" w:hRule="atLeast"/>
        </w:trPr>
        <w:tc>
          <w:tcPr>
            <w:tcW w:w="2961" w:type="dxa"/>
            <w:gridSpan w:val="2"/>
            <w:tcBorders>
              <w:top w:val="single" w:color="auto" w:sz="4" w:space="0"/>
              <w:left w:val="nil"/>
              <w:bottom w:val="single" w:color="1F497D" w:themeColor="text2" w:sz="12" w:space="0"/>
              <w:right w:val="single" w:color="auto" w:sz="4" w:space="0"/>
            </w:tcBorders>
            <w:shd w:val="clear" w:color="auto" w:fill="auto"/>
            <w:noWrap/>
            <w:vAlign w:val="center"/>
          </w:tcPr>
          <w:p w14:paraId="5EBF6581">
            <w:pPr>
              <w:widowControl/>
              <w:jc w:val="left"/>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氢能源货车合计</w:t>
            </w:r>
          </w:p>
        </w:tc>
        <w:tc>
          <w:tcPr>
            <w:tcW w:w="1132" w:type="dxa"/>
            <w:tcBorders>
              <w:top w:val="nil"/>
              <w:left w:val="nil"/>
              <w:bottom w:val="single" w:color="1F497D" w:themeColor="text2" w:sz="12" w:space="0"/>
              <w:right w:val="single" w:color="auto" w:sz="4" w:space="0"/>
            </w:tcBorders>
            <w:shd w:val="clear" w:color="auto" w:fill="auto"/>
            <w:noWrap/>
            <w:vAlign w:val="center"/>
          </w:tcPr>
          <w:p w14:paraId="796F2B3F">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703</w:t>
            </w:r>
          </w:p>
        </w:tc>
        <w:tc>
          <w:tcPr>
            <w:tcW w:w="1009" w:type="dxa"/>
            <w:tcBorders>
              <w:top w:val="nil"/>
              <w:left w:val="nil"/>
              <w:bottom w:val="single" w:color="1F497D" w:themeColor="text2" w:sz="12" w:space="0"/>
              <w:right w:val="single" w:color="auto" w:sz="4" w:space="0"/>
            </w:tcBorders>
            <w:shd w:val="clear" w:color="auto" w:fill="auto"/>
            <w:noWrap/>
            <w:vAlign w:val="center"/>
          </w:tcPr>
          <w:p w14:paraId="5B2B730C">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725</w:t>
            </w:r>
          </w:p>
        </w:tc>
        <w:tc>
          <w:tcPr>
            <w:tcW w:w="1009" w:type="dxa"/>
            <w:tcBorders>
              <w:top w:val="nil"/>
              <w:left w:val="nil"/>
              <w:bottom w:val="single" w:color="1F497D" w:themeColor="text2" w:sz="12" w:space="0"/>
              <w:right w:val="single" w:color="auto" w:sz="4" w:space="0"/>
            </w:tcBorders>
            <w:shd w:val="clear" w:color="auto" w:fill="auto"/>
            <w:noWrap/>
            <w:vAlign w:val="center"/>
          </w:tcPr>
          <w:p w14:paraId="3F48238F">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3595</w:t>
            </w:r>
          </w:p>
        </w:tc>
        <w:tc>
          <w:tcPr>
            <w:tcW w:w="955" w:type="dxa"/>
            <w:tcBorders>
              <w:top w:val="nil"/>
              <w:left w:val="nil"/>
              <w:bottom w:val="single" w:color="1F497D" w:themeColor="text2" w:sz="12" w:space="0"/>
              <w:right w:val="single" w:color="auto" w:sz="4" w:space="0"/>
            </w:tcBorders>
            <w:shd w:val="clear" w:color="auto" w:fill="auto"/>
            <w:noWrap/>
            <w:vAlign w:val="center"/>
          </w:tcPr>
          <w:p w14:paraId="40E2E2F6">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4820</w:t>
            </w:r>
          </w:p>
        </w:tc>
        <w:tc>
          <w:tcPr>
            <w:tcW w:w="995" w:type="dxa"/>
            <w:tcBorders>
              <w:top w:val="single" w:color="auto" w:sz="4" w:space="0"/>
              <w:left w:val="nil"/>
              <w:bottom w:val="single" w:color="1F497D" w:themeColor="text2" w:sz="12" w:space="0"/>
              <w:right w:val="single" w:color="auto" w:sz="4" w:space="0"/>
            </w:tcBorders>
            <w:shd w:val="clear" w:color="auto" w:fill="auto"/>
            <w:noWrap/>
            <w:vAlign w:val="center"/>
          </w:tcPr>
          <w:p w14:paraId="6E858760">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46850</w:t>
            </w:r>
          </w:p>
        </w:tc>
        <w:tc>
          <w:tcPr>
            <w:tcW w:w="1011" w:type="dxa"/>
            <w:tcBorders>
              <w:top w:val="single" w:color="auto" w:sz="4" w:space="0"/>
              <w:left w:val="single" w:color="auto" w:sz="4" w:space="0"/>
              <w:bottom w:val="single" w:color="1F497D" w:themeColor="text2" w:sz="12" w:space="0"/>
              <w:right w:val="nil"/>
            </w:tcBorders>
            <w:shd w:val="clear" w:color="auto" w:fill="auto"/>
            <w:noWrap/>
            <w:vAlign w:val="center"/>
          </w:tcPr>
          <w:p w14:paraId="4CC156D6">
            <w:pPr>
              <w:widowControl/>
              <w:jc w:val="center"/>
              <w:rPr>
                <w:rFonts w:ascii="Times New Roman" w:hAnsi="Times New Roman" w:eastAsia="仿宋_GB2312" w:cs="Times New Roman"/>
                <w:b/>
                <w:bCs/>
                <w:kern w:val="0"/>
                <w:sz w:val="24"/>
                <w:szCs w:val="24"/>
              </w:rPr>
            </w:pPr>
            <w:r>
              <w:rPr>
                <w:rFonts w:hint="eastAsia" w:ascii="Times New Roman" w:hAnsi="Times New Roman" w:eastAsia="仿宋_GB2312" w:cs="Times New Roman"/>
                <w:b/>
                <w:bCs/>
                <w:kern w:val="0"/>
                <w:sz w:val="24"/>
                <w:szCs w:val="24"/>
              </w:rPr>
              <w:t>51640</w:t>
            </w:r>
          </w:p>
        </w:tc>
      </w:tr>
    </w:tbl>
    <w:p w14:paraId="13DF5781">
      <w:pPr>
        <w:pStyle w:val="302"/>
        <w:ind w:firstLine="562"/>
        <w:rPr>
          <w:b/>
        </w:rPr>
      </w:pPr>
      <w:r>
        <w:rPr>
          <w:rFonts w:hint="eastAsia"/>
          <w:b/>
        </w:rPr>
        <w:t>重点任务三：氢燃料加氢站网络建设</w:t>
      </w:r>
    </w:p>
    <w:p w14:paraId="1507F38B">
      <w:pPr>
        <w:pStyle w:val="302"/>
      </w:pPr>
      <w:r>
        <w:rPr>
          <w:rFonts w:hint="eastAsia"/>
        </w:rPr>
        <w:t>建设独立加氢站、加氢加油混合站、加氢加气混合站和加氢加油加气混合站网络，构建制氢-储运-加氢-应用的氢能源生态网络，预计2023年建成加氢站17座，其中独立加氢站15座，混合加氢站2座，总加氢能力达到；预计2025年建成加氢站64座，其中独立加氢站50座，混合加氢站14座；随着氢能产业的发展，加氢站的技术水平和加氢能力将实现飞跃式发展，预计2030年加氢站数量约100座。</w:t>
      </w:r>
    </w:p>
    <w:p w14:paraId="391D5B04">
      <w:pPr>
        <w:pStyle w:val="302"/>
      </w:pPr>
    </w:p>
    <w:p w14:paraId="7B15E01D">
      <w:pPr>
        <w:pStyle w:val="302"/>
      </w:pPr>
    </w:p>
    <w:p w14:paraId="6AC5B6A9">
      <w:pPr>
        <w:pStyle w:val="302"/>
      </w:pPr>
    </w:p>
    <w:p w14:paraId="4EA88389">
      <w:pPr>
        <w:pStyle w:val="302"/>
      </w:pPr>
    </w:p>
    <w:p w14:paraId="7799FFB3">
      <w:pPr>
        <w:pStyle w:val="302"/>
      </w:pPr>
    </w:p>
    <w:p w14:paraId="553E9AC4">
      <w:pPr>
        <w:pStyle w:val="302"/>
      </w:pPr>
    </w:p>
    <w:p w14:paraId="13729180">
      <w:pPr>
        <w:pStyle w:val="302"/>
      </w:pPr>
    </w:p>
    <w:p w14:paraId="6C7A1891">
      <w:pPr>
        <w:pStyle w:val="302"/>
      </w:pPr>
    </w:p>
    <w:p w14:paraId="330B8708">
      <w:pPr>
        <w:pStyle w:val="302"/>
      </w:pPr>
    </w:p>
    <w:p w14:paraId="05C1C109">
      <w:pPr>
        <w:pStyle w:val="302"/>
      </w:pPr>
    </w:p>
    <w:p w14:paraId="6820FFDB">
      <w:pPr>
        <w:pStyle w:val="302"/>
      </w:pPr>
    </w:p>
    <w:p w14:paraId="7A2E6AF5">
      <w:pPr>
        <w:pStyle w:val="302"/>
      </w:pPr>
    </w:p>
    <w:p w14:paraId="794E1D61">
      <w:pPr>
        <w:pStyle w:val="302"/>
      </w:pPr>
    </w:p>
    <w:p w14:paraId="0E1725F9">
      <w:pPr>
        <w:pStyle w:val="302"/>
      </w:pPr>
    </w:p>
    <w:p w14:paraId="00AA5071">
      <w:pPr>
        <w:pStyle w:val="302"/>
      </w:pPr>
    </w:p>
    <w:p w14:paraId="3344B0A0">
      <w:pPr>
        <w:pStyle w:val="302"/>
      </w:pPr>
    </w:p>
    <w:p w14:paraId="47C70FD2">
      <w:pPr>
        <w:pStyle w:val="302"/>
        <w:ind w:firstLine="0" w:firstLineChars="0"/>
      </w:pPr>
    </w:p>
    <w:bookmarkEnd w:id="95"/>
    <w:p w14:paraId="77DC2AD5">
      <w:pPr>
        <w:spacing w:line="360" w:lineRule="auto"/>
        <w:ind w:firstLine="560" w:firstLineChars="200"/>
        <w:rPr>
          <w:rFonts w:ascii="Times New Roman" w:hAnsi="Times New Roman" w:eastAsia="楷体_GB2312" w:cs="Times New Roman"/>
          <w:sz w:val="28"/>
          <w:szCs w:val="30"/>
        </w:rPr>
        <w:sectPr>
          <w:pgSz w:w="11906" w:h="16838"/>
          <w:pgMar w:top="1418" w:right="1418" w:bottom="1418" w:left="1418" w:header="720" w:footer="720" w:gutter="0"/>
          <w:pgBorders w:offsetFrom="page">
            <w:top w:val="single" w:color="1F497D" w:themeColor="text2" w:sz="12" w:space="24"/>
            <w:bottom w:val="single" w:color="1F497D" w:themeColor="text2" w:sz="12" w:space="24"/>
          </w:pgBorders>
          <w:cols w:space="720" w:num="1"/>
          <w:docGrid w:type="lines" w:linePitch="312" w:charSpace="0"/>
        </w:sectPr>
      </w:pPr>
    </w:p>
    <w:p w14:paraId="238139DB">
      <w:pPr>
        <w:pStyle w:val="2"/>
      </w:pPr>
      <w:bookmarkStart w:id="96" w:name="_Toc52306977"/>
      <w:bookmarkStart w:id="97" w:name="_Toc52377969"/>
      <w:r>
        <w:rPr>
          <w:rFonts w:hint="eastAsia"/>
        </w:rPr>
        <w:t>第五章 大同市氢能产业区域规划</w:t>
      </w:r>
      <w:bookmarkEnd w:id="96"/>
      <w:bookmarkEnd w:id="97"/>
    </w:p>
    <w:p w14:paraId="38F89703">
      <w:pPr>
        <w:pStyle w:val="4"/>
      </w:pPr>
      <w:bookmarkStart w:id="98" w:name="_Toc52377970"/>
      <w:bookmarkStart w:id="99" w:name="_Toc52306978"/>
      <w:r>
        <w:rPr>
          <w:rFonts w:hint="eastAsia"/>
        </w:rPr>
        <w:t>5.1</w:t>
      </w:r>
      <w:r>
        <w:t xml:space="preserve"> </w:t>
      </w:r>
      <w:r>
        <w:rPr>
          <w:rFonts w:hint="eastAsia"/>
        </w:rPr>
        <w:t>氢能源重点区域布局</w:t>
      </w:r>
      <w:bookmarkEnd w:id="98"/>
      <w:bookmarkEnd w:id="99"/>
    </w:p>
    <w:p w14:paraId="402E90DC">
      <w:pPr>
        <w:spacing w:line="360" w:lineRule="auto"/>
        <w:ind w:firstLine="48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根据大同市资源和产业现状，按照氢能全产业链上下游协同发展的原则，引导大同市的氢能产业在地域上集中分布，资源上优化配置，通过对大同现有的工业园区与规划发展的氢能产业区合理布局，引导氢能产业健康、高速、创新发展，产业布局如图5-1所示：</w:t>
      </w:r>
    </w:p>
    <w:p w14:paraId="6173F5A5">
      <w:pPr>
        <w:spacing w:line="360" w:lineRule="auto"/>
        <w:jc w:val="center"/>
        <w:rPr>
          <w:rFonts w:ascii="Times New Roman" w:hAnsi="Times New Roman" w:eastAsia="楷体_GB2312" w:cs="Times New Roman"/>
          <w:sz w:val="28"/>
          <w:szCs w:val="30"/>
        </w:rPr>
      </w:pPr>
      <w:r>
        <w:rPr>
          <w:rFonts w:ascii="Times New Roman" w:hAnsi="Times New Roman" w:eastAsia="楷体_GB2312" w:cs="Times New Roman"/>
          <w:sz w:val="28"/>
          <w:szCs w:val="30"/>
        </w:rPr>
        <w:drawing>
          <wp:inline distT="0" distB="0" distL="0" distR="0">
            <wp:extent cx="5748655" cy="399923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748655" cy="3999230"/>
                    </a:xfrm>
                    <a:prstGeom prst="rect">
                      <a:avLst/>
                    </a:prstGeom>
                    <a:noFill/>
                    <a:ln>
                      <a:noFill/>
                    </a:ln>
                  </pic:spPr>
                </pic:pic>
              </a:graphicData>
            </a:graphic>
          </wp:inline>
        </w:drawing>
      </w:r>
    </w:p>
    <w:p w14:paraId="32D397F6">
      <w:pPr>
        <w:spacing w:line="360" w:lineRule="auto"/>
        <w:jc w:val="center"/>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图5-1</w:t>
      </w:r>
      <w:r>
        <w:rPr>
          <w:rFonts w:ascii="Times New Roman" w:hAnsi="Times New Roman" w:eastAsia="楷体_GB2312" w:cs="Times New Roman"/>
          <w:sz w:val="28"/>
          <w:szCs w:val="30"/>
        </w:rPr>
        <w:t xml:space="preserve"> </w:t>
      </w:r>
      <w:r>
        <w:rPr>
          <w:rFonts w:hint="eastAsia" w:ascii="Times New Roman" w:hAnsi="Times New Roman" w:eastAsia="楷体_GB2312" w:cs="Times New Roman"/>
          <w:sz w:val="28"/>
          <w:szCs w:val="30"/>
        </w:rPr>
        <w:t>大同市氢能产业规划图</w:t>
      </w:r>
    </w:p>
    <w:p w14:paraId="2AC30B12">
      <w:pPr>
        <w:pStyle w:val="5"/>
      </w:pPr>
      <w:r>
        <w:rPr>
          <w:rFonts w:hint="eastAsia"/>
        </w:rPr>
        <w:t>5.1.1</w:t>
      </w:r>
      <w:r>
        <w:t xml:space="preserve"> </w:t>
      </w:r>
      <w:r>
        <w:rPr>
          <w:rFonts w:hint="eastAsia"/>
        </w:rPr>
        <w:t>打造以“能源科创园”为中心的核心区</w:t>
      </w:r>
    </w:p>
    <w:p w14:paraId="241D9BA2">
      <w:pPr>
        <w:spacing w:line="360" w:lineRule="auto"/>
        <w:ind w:firstLine="48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大同市国际能源革命科技创新产业园（能源科创园）东邻大同市委、西接大同大学，占地面积1000亩，项目建设总规模102.7万平方米，总投资约140亿元。</w:t>
      </w:r>
      <w:bookmarkStart w:id="100" w:name="_Hlk51858712"/>
      <w:r>
        <w:rPr>
          <w:rFonts w:hint="eastAsia" w:ascii="Times New Roman" w:hAnsi="Times New Roman" w:eastAsia="楷体_GB2312" w:cs="Times New Roman"/>
          <w:sz w:val="28"/>
          <w:szCs w:val="30"/>
        </w:rPr>
        <w:t>能源科创园全力实施“11+1”项目，</w:t>
      </w:r>
      <w:bookmarkEnd w:id="100"/>
      <w:r>
        <w:rPr>
          <w:rFonts w:hint="eastAsia" w:ascii="Times New Roman" w:hAnsi="Times New Roman" w:eastAsia="楷体_GB2312" w:cs="Times New Roman"/>
          <w:sz w:val="28"/>
          <w:szCs w:val="30"/>
        </w:rPr>
        <w:t>即中国科学院洁净能源创新研究院大同转化基地、全域科研院所科技成果转化联盟大同新能源产业技术研究院、中关村大同协同创新园、同煤集团双创中心、汉能北方新能源研发基地中心、未来能源馆、启迪大同新能源产业创新中心、上海田鼎新能源与绿色金融创新产业中心、中以国际能源科技成果合作中心、网宿科技新能源大数据产业中心、泰瑞集团新能源新材料研发中心等11个项目，“+1”是在开发区同期开工建设的中国科学院工程热物理研究所大同分所。能源科创园融合了政府引导与推动的力量、技术创新实力、高精尖人材等，对大同市氢能产业的快速发展具有强有力的引导和推动作用，是大同市氢能产业快速发展的“引擎”。</w:t>
      </w:r>
    </w:p>
    <w:p w14:paraId="23293540">
      <w:pPr>
        <w:spacing w:line="360" w:lineRule="auto"/>
        <w:ind w:firstLine="48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以“能源科创园</w:t>
      </w:r>
      <w:r>
        <w:rPr>
          <w:rFonts w:ascii="Times New Roman" w:hAnsi="Times New Roman" w:eastAsia="楷体_GB2312" w:cs="Times New Roman"/>
          <w:sz w:val="28"/>
          <w:szCs w:val="30"/>
        </w:rPr>
        <w:t>”</w:t>
      </w:r>
      <w:r>
        <w:rPr>
          <w:rFonts w:hint="eastAsia" w:ascii="Times New Roman" w:hAnsi="Times New Roman" w:eastAsia="楷体_GB2312" w:cs="Times New Roman"/>
          <w:sz w:val="28"/>
          <w:szCs w:val="30"/>
        </w:rPr>
        <w:t>为中心，建设大同市氢能产业核心产业区，政产学研用汇集的高新技术区，着力进行氢能相关产业研发平台、孵化平台、双创平台和科技成果转化平台的搭建，为打造大同市氢都助力。</w:t>
      </w:r>
    </w:p>
    <w:p w14:paraId="0DC3ED96">
      <w:pPr>
        <w:pStyle w:val="5"/>
      </w:pPr>
      <w:r>
        <w:rPr>
          <w:rFonts w:hint="eastAsia"/>
        </w:rPr>
        <w:t>5.1.2</w:t>
      </w:r>
      <w:r>
        <w:t xml:space="preserve"> </w:t>
      </w:r>
      <w:r>
        <w:rPr>
          <w:rFonts w:hint="eastAsia"/>
        </w:rPr>
        <w:t>协同发展三个氢能产业聚集区</w:t>
      </w:r>
    </w:p>
    <w:p w14:paraId="3B28DBB4">
      <w:pPr>
        <w:pStyle w:val="302"/>
        <w:ind w:firstLine="562"/>
        <w:rPr>
          <w:b/>
          <w:bCs/>
        </w:rPr>
      </w:pPr>
      <w:r>
        <w:rPr>
          <w:rFonts w:hint="eastAsia"/>
          <w:b/>
          <w:bCs/>
        </w:rPr>
        <w:t>（1）氢能贸易产业聚集区</w:t>
      </w:r>
    </w:p>
    <w:p w14:paraId="0394C1BB">
      <w:pPr>
        <w:spacing w:line="360" w:lineRule="auto"/>
        <w:ind w:firstLine="48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依托大同市丰富的煤炭资源及煤化工工业基础，在</w:t>
      </w:r>
      <w:bookmarkStart w:id="101" w:name="_Hlk51858758"/>
      <w:r>
        <w:rPr>
          <w:rFonts w:hint="eastAsia" w:ascii="Times New Roman" w:hAnsi="Times New Roman" w:eastAsia="楷体_GB2312" w:cs="Times New Roman"/>
          <w:sz w:val="28"/>
          <w:szCs w:val="30"/>
        </w:rPr>
        <w:t>云冈经济开发区</w:t>
      </w:r>
      <w:bookmarkEnd w:id="101"/>
      <w:r>
        <w:rPr>
          <w:rFonts w:hint="eastAsia" w:ascii="Times New Roman" w:hAnsi="Times New Roman" w:eastAsia="楷体_GB2312" w:cs="Times New Roman"/>
          <w:sz w:val="28"/>
          <w:szCs w:val="30"/>
        </w:rPr>
        <w:t>发展化工尾气制氢及煤气化制氢，并逐渐建立化工尾气制氢及煤气化制氢产业集群区；依托大同市众多的风、光及水可再生能源发电项目，在云冈经济技术开发区、</w:t>
      </w:r>
      <w:bookmarkStart w:id="102" w:name="_Hlk51858782"/>
      <w:r>
        <w:rPr>
          <w:rFonts w:hint="eastAsia" w:ascii="Times New Roman" w:hAnsi="Times New Roman" w:eastAsia="楷体_GB2312" w:cs="Times New Roman"/>
          <w:sz w:val="28"/>
          <w:szCs w:val="30"/>
        </w:rPr>
        <w:t>左云经济技术开发区和阳高龙泉工业园区</w:t>
      </w:r>
      <w:bookmarkEnd w:id="102"/>
      <w:r>
        <w:rPr>
          <w:rFonts w:hint="eastAsia" w:ascii="Times New Roman" w:hAnsi="Times New Roman" w:eastAsia="楷体_GB2312" w:cs="Times New Roman"/>
          <w:sz w:val="28"/>
          <w:szCs w:val="30"/>
        </w:rPr>
        <w:t>发展可再生能源发电-电解水制氢，并逐步形成再生能源发电-电解水制氢产业聚集区。</w:t>
      </w:r>
    </w:p>
    <w:p w14:paraId="5CCE8A7E">
      <w:pPr>
        <w:spacing w:line="360" w:lineRule="auto"/>
        <w:ind w:firstLine="48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未来，随着大同氢能产业的持续发展，氢的产能与产量将会不断提升，在满足自身及周边区域氢能利用的同时可以通过氢能贸易的形式输出，围绕制氢聚集区逐步形成氢能贸易产业聚集区；另外，大同市临近我国多个重要经济中心，交通四通八达，可辐射周边众多能源需求市场，大同市可以依托这种先天地理优势建立氢能贸易基地，作为联通中西部等氢能源丰富的地区和东南沿海、京津冀等氢能稀缺地区的枢纽。首先，将陕西、内蒙、新疆、甘肃、宁夏等西部偏远地区丰富的氢能资源运至大同市氢能贸易基地；然后，由大同市氢能贸易基地根据东南沿海、京津冀等地区对氢源的需求量，进行统一调配，逐渐形成以大同为枢纽的中西部氢能产业经济区、大同-京津冀氢能经济圈、大同-东南沿海氢能经济走廊。</w:t>
      </w:r>
    </w:p>
    <w:p w14:paraId="321C7DED">
      <w:pPr>
        <w:pStyle w:val="302"/>
        <w:ind w:firstLine="562"/>
        <w:rPr>
          <w:b/>
          <w:bCs/>
        </w:rPr>
      </w:pPr>
      <w:r>
        <w:rPr>
          <w:rFonts w:hint="eastAsia"/>
          <w:b/>
          <w:bCs/>
        </w:rPr>
        <w:t>（2）氢能应用产业集群区</w:t>
      </w:r>
    </w:p>
    <w:p w14:paraId="1F09F68D">
      <w:pPr>
        <w:spacing w:line="360" w:lineRule="auto"/>
        <w:ind w:firstLine="48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根据《中国氢能源及燃料电池产业白皮书》指出，我国已掌握部分氢能基础设施与一批燃料电池相关核心技术，具备一定的产业装备及燃料电池整车的生产能力。但与发达国家相比，基础设施与装备仍有提升空间，在燃料电池技术研发、装备制造、基础设施建设等方面仍有一定差距，部分关键设备不得不依赖进口，因此关键装备工业化、本土化亟待加速，因此需要发展、建立氢能核心装置制造的产业聚集区，将装备研发成果快速实现产业化。</w:t>
      </w:r>
    </w:p>
    <w:p w14:paraId="4D64DED1">
      <w:pPr>
        <w:spacing w:line="360" w:lineRule="auto"/>
        <w:ind w:firstLine="48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氢都大同新能源产业城”位于大同市中心城区东部，交通便捷，东3公里处为云冈机场，南5公里处为高铁南站，融科技、生态、人文为一体，以新能源、新材料、新技术、新应用定位发展，汇集了具有国内外领先的优秀企业和研究院所。“氢都大同新能源产业城”是大同市能源革命的“主阵地”、新能源产业的“集聚区”和转型发展的“大平台”，致力于为新能源企业提供一个智力密集、企业聚集的高品质产业城，其集技术研发、技术转化、装备制造于一体，是大同市氢能应用产业及关键装备制造的核心区域，大同市依托“氢都大同新能源产业城”通过招商引资引入一批项目与企业，加快下游应用产业集群建设，推动产业持续发展与对周边的辐射作用，使氢能应用产业不断发展壮大，逐渐形成产业集群发展。</w:t>
      </w:r>
    </w:p>
    <w:p w14:paraId="0DCE99D1">
      <w:pPr>
        <w:spacing w:line="360" w:lineRule="auto"/>
        <w:ind w:firstLine="48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大同市依托“氢都大同新能源产业城”通过引进一批企业与项目，合力开发氢能产业；引进一批专家与人才，建立战略咨询委员会及研发平台，加快对氢能产业研发；引进一批高校及研发单位进行科技成果转化，实现对氢能产业的创新驱动发展。随着氢能产业进入快速发展的轨道，大同市氢能产业在关键技术突破与关键设备的制造方面也将形成以“氢都大同新能源产业城”为中心的高新技术产业集群发展局面。</w:t>
      </w:r>
    </w:p>
    <w:p w14:paraId="07601B50">
      <w:pPr>
        <w:pStyle w:val="302"/>
        <w:ind w:firstLine="562"/>
        <w:rPr>
          <w:b/>
          <w:bCs/>
        </w:rPr>
      </w:pPr>
      <w:r>
        <w:rPr>
          <w:rFonts w:hint="eastAsia"/>
          <w:b/>
          <w:bCs/>
        </w:rPr>
        <w:t>（3）氢能储运产业集群区</w:t>
      </w:r>
    </w:p>
    <w:p w14:paraId="0343FA49">
      <w:pPr>
        <w:pStyle w:val="302"/>
        <w:widowControl/>
      </w:pPr>
      <w:r>
        <w:rPr>
          <w:rFonts w:hint="eastAsia"/>
        </w:rPr>
        <w:t>大同市作为中国氢都的定位，不仅具有丰富的氢源，还具有承担着将中西部地区的氢源转运至京津冀及东南沿海等氢气稀缺地区的重要任务，因此大同市建立氢能储运产业集群区是大同市立足氢都定位推动全国氢能产业发展的必然要求。</w:t>
      </w:r>
    </w:p>
    <w:p w14:paraId="2B24AD78">
      <w:pPr>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晋北物流园位于京包铁路与省道S301之间，毗邻109国道和周士庄火车站，“全国首批22个绿色配送示范工程”承载点，也是国铁集团规划的二级铁路物流园区，其具体划分为多式联运港、城市配送港、公路港、商贸港及冷链物流港等，园区内将全部使用新能源物流车（氢能），并计划建立配套商业化综合加氢站。致力于成为中西部地区现代化、示范型物流服务基地和新型铁路综合物流园区标杆。随着大规模、长距离氢能储运技术的不断成熟，以及全国用氢规模的不断壮大，在未来运输行业“公转铁”的大形势背景下，晋北物流园将成为中西部地区的氢源转运及物流集散的枢纽，大同市依托晋北物流园建设氢能储运产业集群区，不仅能够充分发挥大同作为氢都对全国氢能产业发展的促进作用，而且氢能物流车的示范推广推动大同市氢能产业的发展。</w:t>
      </w:r>
    </w:p>
    <w:p w14:paraId="03162F00">
      <w:pPr>
        <w:pStyle w:val="5"/>
      </w:pPr>
      <w:r>
        <w:rPr>
          <w:rFonts w:hint="eastAsia"/>
        </w:rPr>
        <w:t>5.1.3</w:t>
      </w:r>
      <w:r>
        <w:t xml:space="preserve"> </w:t>
      </w:r>
      <w:r>
        <w:rPr>
          <w:rFonts w:hint="eastAsia"/>
        </w:rPr>
        <w:t>氢能产业示范点</w:t>
      </w:r>
    </w:p>
    <w:p w14:paraId="3F976968">
      <w:pPr>
        <w:pStyle w:val="302"/>
      </w:pPr>
      <w:r>
        <w:rPr>
          <w:rFonts w:hint="eastAsia"/>
        </w:rPr>
        <w:t>根据大同市资源和产业基础的特点，分地域、分阶段稳定有序的推进全省制氢与氢气纯化、氢源储运和下游应用如氢燃料卡车、氢燃料客车、氢燃料物流车、氢燃料环卫车、氢燃料乘用车以及氢能社区的工程示范，实现氢能产业全产业链协同发展，推动全省氢能产业有序前进。</w:t>
      </w:r>
    </w:p>
    <w:p w14:paraId="0F56C1D0">
      <w:pPr>
        <w:pStyle w:val="302"/>
        <w:ind w:firstLine="562"/>
        <w:rPr>
          <w:b/>
          <w:bCs/>
        </w:rPr>
      </w:pPr>
      <w:r>
        <w:rPr>
          <w:rFonts w:hint="eastAsia"/>
          <w:b/>
          <w:bCs/>
        </w:rPr>
        <w:t>（1）制氢与氢气纯化工程示范</w:t>
      </w:r>
    </w:p>
    <w:p w14:paraId="713E9B23">
      <w:pPr>
        <w:spacing w:line="360" w:lineRule="auto"/>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依托</w:t>
      </w:r>
      <w:r>
        <w:rPr>
          <w:rFonts w:ascii="Times New Roman" w:hAnsi="Times New Roman" w:eastAsia="楷体_GB2312" w:cs="Times New Roman"/>
          <w:sz w:val="28"/>
          <w:szCs w:val="30"/>
        </w:rPr>
        <w:t>同煤广发化学工业公司</w:t>
      </w:r>
      <w:r>
        <w:rPr>
          <w:rFonts w:hint="eastAsia" w:ascii="Times New Roman" w:hAnsi="Times New Roman" w:eastAsia="楷体_GB2312" w:cs="Times New Roman"/>
          <w:sz w:val="28"/>
          <w:szCs w:val="30"/>
        </w:rPr>
        <w:t>的5000吨/年甲醇弛放气制氢项目，进行工业富氢尾气制氢；依托同煤集团的煤化工基础及中海油在大同市的煤气化项目，进行煤制氢及CCUS工程示范；依托大同市的可再生能源发电项目，进行可再生能源发电-电解水制氢工程示范；依托</w:t>
      </w:r>
      <w:r>
        <w:rPr>
          <w:rFonts w:ascii="Times New Roman" w:hAnsi="Times New Roman" w:eastAsia="楷体_GB2312" w:cs="Times New Roman"/>
          <w:sz w:val="28"/>
          <w:szCs w:val="30"/>
        </w:rPr>
        <w:t>国电电力大同第二发电厂</w:t>
      </w:r>
      <w:r>
        <w:rPr>
          <w:rFonts w:hint="eastAsia" w:ascii="Times New Roman" w:hAnsi="Times New Roman" w:eastAsia="楷体_GB2312" w:cs="Times New Roman"/>
          <w:sz w:val="28"/>
          <w:szCs w:val="30"/>
        </w:rPr>
        <w:t>进行火电调峰电解水制氢工程示范。</w:t>
      </w:r>
    </w:p>
    <w:p w14:paraId="2E492FC4">
      <w:pPr>
        <w:pStyle w:val="302"/>
        <w:ind w:firstLine="562"/>
        <w:rPr>
          <w:b/>
          <w:bCs/>
        </w:rPr>
      </w:pPr>
      <w:r>
        <w:rPr>
          <w:rFonts w:hint="eastAsia"/>
          <w:b/>
          <w:bCs/>
        </w:rPr>
        <w:t>（2）氢源储运与加氢站工程示范</w:t>
      </w:r>
    </w:p>
    <w:p w14:paraId="4C4D545F">
      <w:pPr>
        <w:pStyle w:val="302"/>
      </w:pPr>
      <w:r>
        <w:rPr>
          <w:rFonts w:hint="eastAsia"/>
        </w:rPr>
        <w:t>在新研氢能500</w:t>
      </w:r>
      <w:r>
        <w:t>kg/</w:t>
      </w:r>
      <w:r>
        <w:rPr>
          <w:rFonts w:hint="eastAsia"/>
        </w:rPr>
        <w:t>d撬装式加氢站及雄韬氢雄500</w:t>
      </w:r>
      <w:r>
        <w:t>kg/</w:t>
      </w:r>
      <w:r>
        <w:rPr>
          <w:rFonts w:hint="eastAsia"/>
        </w:rPr>
        <w:t>d固定式加氢站的基础上，进行1000</w:t>
      </w:r>
      <w:r>
        <w:t>kg/</w:t>
      </w:r>
      <w:r>
        <w:rPr>
          <w:rFonts w:hint="eastAsia"/>
        </w:rPr>
        <w:t>d独立加氢站和混合加氢站的建设及运营示范；同时，通过技术引进及技术合作发展有机液体储氢技术和液氢技术，依托晋北物流园进行公铁联用输氢示范运营，并逐步实现气氢、液氢及储氢有机液体远距离、大规模运输，实现氢源的西气东输。</w:t>
      </w:r>
    </w:p>
    <w:p w14:paraId="5566C1F7">
      <w:pPr>
        <w:pStyle w:val="302"/>
        <w:ind w:firstLine="562"/>
        <w:rPr>
          <w:b/>
          <w:bCs/>
        </w:rPr>
      </w:pPr>
      <w:r>
        <w:rPr>
          <w:rFonts w:hint="eastAsia"/>
          <w:b/>
          <w:bCs/>
        </w:rPr>
        <w:t>（3）天然气掺氢工程示范</w:t>
      </w:r>
    </w:p>
    <w:p w14:paraId="58859B52">
      <w:pPr>
        <w:pStyle w:val="302"/>
      </w:pPr>
      <w:r>
        <w:rPr>
          <w:rFonts w:hint="eastAsia"/>
        </w:rPr>
        <w:t>依托大同市现有产业和技术基础，在制氢基地内和附近社区进行天然气管网掺氢工程示范。</w:t>
      </w:r>
    </w:p>
    <w:p w14:paraId="53997C3E">
      <w:pPr>
        <w:pStyle w:val="302"/>
        <w:ind w:firstLine="562"/>
        <w:rPr>
          <w:b/>
          <w:bCs/>
        </w:rPr>
      </w:pPr>
      <w:r>
        <w:rPr>
          <w:rFonts w:hint="eastAsia"/>
          <w:b/>
          <w:bCs/>
        </w:rPr>
        <w:t>（4）氢燃料电池制造及应用工程示范</w:t>
      </w:r>
    </w:p>
    <w:p w14:paraId="6448BA78">
      <w:pPr>
        <w:pStyle w:val="302"/>
      </w:pPr>
      <w:r>
        <w:rPr>
          <w:rFonts w:hint="eastAsia"/>
        </w:rPr>
        <w:t>依托新研氢能、雄韬氢雄等公司的氢燃料电池产业基础和技术基础，进行金属双极板氢燃料电池及大功率石墨电极的生产与应用示范；进行氢燃料分布式电源生产，优先在工矿企业开展应用示范，并逐步推广其在通讯基站、分散式电站和应急救灾等领域的示范；进行商业楼宇、氢能社区热电联供示范。</w:t>
      </w:r>
    </w:p>
    <w:p w14:paraId="3592DED7">
      <w:pPr>
        <w:pStyle w:val="302"/>
        <w:ind w:firstLine="562"/>
        <w:rPr>
          <w:b/>
          <w:bCs/>
        </w:rPr>
      </w:pPr>
      <w:r>
        <w:rPr>
          <w:rFonts w:hint="eastAsia"/>
          <w:b/>
          <w:bCs/>
        </w:rPr>
        <w:t>（5）氢燃料汽车生产与运营工程示范</w:t>
      </w:r>
    </w:p>
    <w:p w14:paraId="65C5862E">
      <w:pPr>
        <w:pStyle w:val="302"/>
      </w:pPr>
      <w:r>
        <w:rPr>
          <w:rFonts w:hint="eastAsia"/>
        </w:rPr>
        <w:t>依托陕汽进行氢燃料中重卡、物流车等车型的生产制造示范；依托中植一客进行氢燃料客车和小型物流车的生产示范；依托中车集团进行氢燃料机车的生产示范；依托北汽福田进行氢燃料乘用车的生产示范；托山西耀邦环境装备公司进行氢燃料环卫车的生产示范。依托大同市现有公交系统及城际客运系统开展氢燃料公交车和大巴车的运营示范；依托晋北物流园、大同国际陆港等进行氢燃料中重卡、小型物流车的运营示范；依托大同市现有的市政工程网络，进行氢燃料环卫车的运营示范；通过市政单位用车和出租车更换机制，进行氢燃料乘用车的运营示范；依托</w:t>
      </w:r>
      <w:r>
        <w:t>自身旅游资源，在知名旅游景点内开展绿色氢燃料旅游用车、摆渡车等示范</w:t>
      </w:r>
      <w:r>
        <w:rPr>
          <w:rFonts w:hint="eastAsia"/>
        </w:rPr>
        <w:t>。</w:t>
      </w:r>
    </w:p>
    <w:p w14:paraId="72BF9424">
      <w:pPr>
        <w:pStyle w:val="4"/>
        <w:spacing w:before="156"/>
      </w:pPr>
      <w:bookmarkStart w:id="103" w:name="_Toc52377971"/>
      <w:bookmarkStart w:id="104" w:name="_Toc52306979"/>
      <w:r>
        <w:rPr>
          <w:rFonts w:hint="eastAsia"/>
        </w:rPr>
        <w:t>5.2 制氢基地的区域布局</w:t>
      </w:r>
      <w:bookmarkEnd w:id="103"/>
      <w:bookmarkEnd w:id="104"/>
    </w:p>
    <w:p w14:paraId="46DE085B">
      <w:pPr>
        <w:pStyle w:val="302"/>
      </w:pPr>
      <w:r>
        <w:rPr>
          <w:rFonts w:hint="eastAsia"/>
        </w:rPr>
        <w:t>根据大同市在资源和产业基础等方面的特点，进行分阶段、差异化的氢源产业布局，预计在2020-2023年大同市制氢规模达到2万吨/年，制氢产业产值10亿元；随着氢燃料汽车的推广和氢能产业的发展，预计2023-2025年大同制氢规模达到20万吨/年，制氢产业产值80亿元；预计在2026-2030年大同制氢规模达到100万吨/年，产业产值突破400亿元。</w:t>
      </w:r>
    </w:p>
    <w:p w14:paraId="4198284A">
      <w:pPr>
        <w:pStyle w:val="5"/>
      </w:pPr>
      <w:r>
        <w:rPr>
          <w:rFonts w:hint="eastAsia"/>
        </w:rPr>
        <w:t>5.2.1 新能源电解水制氢产业集群</w:t>
      </w:r>
    </w:p>
    <w:p w14:paraId="4102B1B3">
      <w:pPr>
        <w:pStyle w:val="302"/>
      </w:pPr>
      <w:r>
        <w:rPr>
          <w:rFonts w:hint="eastAsia"/>
        </w:rPr>
        <w:t>充分利用大同市内风能和太阳能等可再生能源，打造可再生能源电解水制氢的产业集群。前期，主要以大同市为试点城市进行电解制氢与氢气纯化技术的产业化实践，预计到2023年制氢规模达到1.25万吨/年以上，可再生能源制氢的技术、产业化体系和政策体系初步形成；中期，集群区可再生能源水电解制氢产业规模继续增大，预计到2025年，制氢规模达到10万吨/年，基本满足大同地区氢能产业发展的需求，可再生能源制氢技术体系、运输网络、产业体系和政策体系基本完善；后期，可再生能源水电解制氢的产业化规模迅速增大，预计到2030年可再生能源制氢规模达到25万吨/年以上，占大同市总产氢量规模的25%以上，成为大同市氢能发展的重要氢源保障。</w:t>
      </w:r>
    </w:p>
    <w:p w14:paraId="06C8190E">
      <w:pPr>
        <w:pStyle w:val="5"/>
      </w:pPr>
      <w:r>
        <w:rPr>
          <w:rFonts w:hint="eastAsia"/>
        </w:rPr>
        <w:t>5.2.2 火力电厂灵活调峰电解水制氢和煤气化+CCUS制氢产业</w:t>
      </w:r>
    </w:p>
    <w:p w14:paraId="036D967E">
      <w:pPr>
        <w:pStyle w:val="302"/>
      </w:pPr>
      <w:r>
        <w:rPr>
          <w:rFonts w:hint="eastAsia"/>
        </w:rPr>
        <w:t>依托现有大同市火力电厂存在产业基础、丰富的煤炭资源和强大的煤化工实力，在大同市范围内进行火力电厂灵活调峰电解水制氢的产业和“煤气化+CCUS”耦合低碳煤制氢产业。前期，主要进行火力电厂灵活调峰电解水制氢政策制定和示范项目建设，作为大同市氢源的补充，预计到202</w:t>
      </w:r>
      <w:r>
        <w:t>3</w:t>
      </w:r>
      <w:r>
        <w:rPr>
          <w:rFonts w:hint="eastAsia"/>
        </w:rPr>
        <w:t>年，通过火力电厂灵活调峰水电解制氢规模达到2500吨/年，同时完成“煤气化+CCUS”低碳煤制氢技术示范，制氢规模达到5000吨/年；中期，大力推广火电厂灵活调峰电解水制氢产业，同时完成“煤气化+CCUS”的技术耦合和示范装置建设，预计到2025年，火电厂灵活调峰电解水制氢规模达到6万吨/年以上，“煤气化+CCUS”煤低碳制氢规模达到4万吨/年以上；后期，火电厂灵活调峰水电解制氢和“煤气化+CCUS”煤低碳制氢产业迅速壮大，预计到2030年水电解制氢规模达到25万吨以上，“煤气化+CCUS”煤低碳制氢规模达到50万吨/年以上（左云经济技术开发区、云冈经济技术开发区），“煤气化+CCUS”成为大同市氢能发展的主要氢源保障。</w:t>
      </w:r>
    </w:p>
    <w:p w14:paraId="382ABB5D">
      <w:pPr>
        <w:pStyle w:val="5"/>
      </w:pPr>
      <w:r>
        <w:rPr>
          <w:rFonts w:hint="eastAsia"/>
        </w:rPr>
        <w:t>5.2.3 大同市氢能技术研发与贸易中心</w:t>
      </w:r>
    </w:p>
    <w:p w14:paraId="0643792A">
      <w:pPr>
        <w:pStyle w:val="302"/>
      </w:pPr>
      <w:r>
        <w:rPr>
          <w:rFonts w:hint="eastAsia"/>
        </w:rPr>
        <w:t>以大同市为中心城市打造山西省制氢技术的开发中心和氢气贸易中心。技术研发中心主要进行制氢技术、纯化技术、储运技术的开发，并依托大同市氢能企业进行示范，为大同市氢能产业发展提供可靠技术支持；氢气贸易中心主要是进行大同市氢气贸易平台、贸易体系和贸易政策的建立，为大同市氢源供应和氢气贸易中心提供体系和政策支持。预计到2023年，通过技术开发、技术引入和合作初步建立大同市内的电解水制氢和煤气化+CCUS低碳煤制氢等制氢技术体系，初步完成大同市氢能贸易体系和储运网络；到2025年，形成具有国内领先的制氢、纯化和储运的技术体系，且大同市内氢气贸易平台搭建、贸易体系和政策基本完善；到2030年，将大同市打造成为全国、乃至全球领先的制氢、纯化、储运的技术孵化中心和氢气贸易中心。</w:t>
      </w:r>
    </w:p>
    <w:p w14:paraId="2D14DFF8">
      <w:pPr>
        <w:pStyle w:val="4"/>
      </w:pPr>
      <w:bookmarkStart w:id="105" w:name="_Toc52377972"/>
      <w:bookmarkStart w:id="106" w:name="_Toc52306981"/>
      <w:r>
        <w:rPr>
          <w:rFonts w:hint="eastAsia"/>
        </w:rPr>
        <w:t>5.3 氢燃料电池生产基地布局</w:t>
      </w:r>
      <w:bookmarkEnd w:id="105"/>
      <w:bookmarkEnd w:id="106"/>
    </w:p>
    <w:p w14:paraId="3B5ECCF2">
      <w:pPr>
        <w:pStyle w:val="302"/>
        <w:rPr>
          <w:rStyle w:val="301"/>
        </w:rPr>
      </w:pPr>
      <w:r>
        <w:rPr>
          <w:rStyle w:val="301"/>
          <w:rFonts w:hint="eastAsia"/>
        </w:rPr>
        <w:t>根据大同市现有的产业基础、研究基础和重点企业的氢能发展定位等方面的特点，进行分阶段、差异化的氢燃料电池产业布局，在氢都新能源产业城打造氢燃料电池生产基地和产业集群区。</w:t>
      </w:r>
    </w:p>
    <w:p w14:paraId="0EBB23D5">
      <w:pPr>
        <w:pStyle w:val="5"/>
      </w:pPr>
      <w:r>
        <w:rPr>
          <w:rFonts w:hint="eastAsia"/>
        </w:rPr>
        <w:t>5.3.1氢燃料电池生产基地</w:t>
      </w:r>
    </w:p>
    <w:p w14:paraId="4477D3E0">
      <w:pPr>
        <w:pStyle w:val="302"/>
      </w:pPr>
      <w:r>
        <w:rPr>
          <w:rFonts w:hint="eastAsia"/>
        </w:rPr>
        <w:t>在大同市依托大同雄韬氢雄、新研氢能等企业的产业基础和研发基础，重点进行车载氢燃料电池、分布式氢燃料电池的技术研发和生产。</w:t>
      </w:r>
    </w:p>
    <w:p w14:paraId="2FF3E4DA">
      <w:pPr>
        <w:pStyle w:val="5"/>
      </w:pPr>
      <w:r>
        <w:rPr>
          <w:rFonts w:hint="eastAsia"/>
        </w:rPr>
        <w:t>5.3.2 氢燃料电池研发和系统测试实验平台建设</w:t>
      </w:r>
    </w:p>
    <w:p w14:paraId="3D7ED612">
      <w:pPr>
        <w:pStyle w:val="302"/>
      </w:pPr>
      <w:r>
        <w:rPr>
          <w:rFonts w:hint="eastAsia"/>
        </w:rPr>
        <w:t>依托大同市各氢能企业和合作科研院所的研发能力和技术储备，在大同市建设氢燃料电池研发平台，进行氢燃料电池关键技术和核心零部件的研发攻关和产业化示范，逐渐实现关键技术和核心零部件的国产化，提高氢燃料电池的性能，降低生产成本。同时，配套建设氢燃料电池系统测试认证中心，提供氢燃料电池全方位的性能检测和认证，为氢燃料电池的应用和产业发展创造条件。</w:t>
      </w:r>
    </w:p>
    <w:p w14:paraId="626317BF">
      <w:pPr>
        <w:pStyle w:val="4"/>
      </w:pPr>
      <w:bookmarkStart w:id="107" w:name="_Toc52377973"/>
      <w:bookmarkStart w:id="108" w:name="_Toc52306982"/>
      <w:r>
        <w:rPr>
          <w:rFonts w:hint="eastAsia"/>
        </w:rPr>
        <w:t>5.4</w:t>
      </w:r>
      <w:r>
        <w:t xml:space="preserve"> </w:t>
      </w:r>
      <w:r>
        <w:rPr>
          <w:rFonts w:hint="eastAsia"/>
        </w:rPr>
        <w:t>氢燃料汽车产业集群布局</w:t>
      </w:r>
      <w:bookmarkEnd w:id="107"/>
      <w:bookmarkEnd w:id="108"/>
    </w:p>
    <w:p w14:paraId="3397FF80">
      <w:pPr>
        <w:pStyle w:val="302"/>
        <w:rPr>
          <w:rStyle w:val="301"/>
        </w:rPr>
      </w:pPr>
      <w:r>
        <w:rPr>
          <w:rFonts w:hint="eastAsia"/>
        </w:rPr>
        <w:t>根据大同市现有的产业基础、研究基础和重点企业的发展规划等方面的特点，依托中植一客、苏州中车、陕汽等企业现有的技术和生产线，进行氢燃料汽车产业布局，</w:t>
      </w:r>
      <w:r>
        <w:rPr>
          <w:rStyle w:val="301"/>
          <w:rFonts w:hint="eastAsia"/>
        </w:rPr>
        <w:t>在氢都新能源产业城打造氢燃料汽车产业集群区。</w:t>
      </w:r>
    </w:p>
    <w:p w14:paraId="653D2C8D">
      <w:pPr>
        <w:pStyle w:val="302"/>
        <w:rPr>
          <w:rStyle w:val="301"/>
        </w:rPr>
      </w:pPr>
    </w:p>
    <w:p w14:paraId="0EEC396C">
      <w:pPr>
        <w:pStyle w:val="302"/>
        <w:rPr>
          <w:rStyle w:val="301"/>
        </w:rPr>
      </w:pPr>
    </w:p>
    <w:p w14:paraId="1F9FC16A">
      <w:pPr>
        <w:pStyle w:val="302"/>
        <w:rPr>
          <w:rStyle w:val="301"/>
        </w:rPr>
      </w:pPr>
    </w:p>
    <w:p w14:paraId="193DCB94">
      <w:pPr>
        <w:pStyle w:val="302"/>
        <w:rPr>
          <w:rStyle w:val="301"/>
        </w:rPr>
      </w:pPr>
    </w:p>
    <w:p w14:paraId="32B2AFC6">
      <w:pPr>
        <w:pStyle w:val="302"/>
        <w:rPr>
          <w:rStyle w:val="301"/>
        </w:rPr>
      </w:pPr>
    </w:p>
    <w:p w14:paraId="276C750D">
      <w:pPr>
        <w:pStyle w:val="302"/>
        <w:rPr>
          <w:rStyle w:val="301"/>
        </w:rPr>
      </w:pPr>
    </w:p>
    <w:p w14:paraId="14AB5F07">
      <w:pPr>
        <w:pStyle w:val="302"/>
        <w:rPr>
          <w:rStyle w:val="301"/>
        </w:rPr>
      </w:pPr>
    </w:p>
    <w:p w14:paraId="03284420">
      <w:pPr>
        <w:pStyle w:val="302"/>
        <w:rPr>
          <w:rStyle w:val="301"/>
        </w:rPr>
      </w:pPr>
    </w:p>
    <w:p w14:paraId="281D0AEE">
      <w:pPr>
        <w:pStyle w:val="302"/>
        <w:rPr>
          <w:rStyle w:val="301"/>
        </w:rPr>
      </w:pPr>
    </w:p>
    <w:p w14:paraId="31C1DB97">
      <w:pPr>
        <w:pStyle w:val="302"/>
        <w:rPr>
          <w:rStyle w:val="301"/>
          <w:rFonts w:hint="eastAsia"/>
        </w:rPr>
      </w:pPr>
    </w:p>
    <w:bookmarkEnd w:id="62"/>
    <w:bookmarkEnd w:id="63"/>
    <w:bookmarkEnd w:id="64"/>
    <w:bookmarkEnd w:id="65"/>
    <w:bookmarkEnd w:id="66"/>
    <w:bookmarkEnd w:id="67"/>
    <w:bookmarkEnd w:id="68"/>
    <w:p w14:paraId="6245BD5B">
      <w:pPr>
        <w:pStyle w:val="2"/>
      </w:pPr>
      <w:bookmarkStart w:id="109" w:name="_Toc268684772"/>
      <w:bookmarkStart w:id="110" w:name="_Toc283712587"/>
      <w:bookmarkStart w:id="111" w:name="_Toc31845"/>
      <w:bookmarkStart w:id="112" w:name="_Toc465735000"/>
      <w:bookmarkStart w:id="113" w:name="_Toc308882713"/>
      <w:bookmarkStart w:id="114" w:name="_Toc283460346"/>
      <w:bookmarkStart w:id="115" w:name="_Toc533150926"/>
      <w:bookmarkStart w:id="116" w:name="_Toc263409005"/>
      <w:bookmarkStart w:id="117" w:name="_Toc283459982"/>
      <w:bookmarkStart w:id="118" w:name="_Toc465762919"/>
      <w:bookmarkStart w:id="119" w:name="_Toc465154763"/>
      <w:bookmarkStart w:id="120" w:name="_Toc283460548"/>
      <w:bookmarkStart w:id="121" w:name="_Toc52377974"/>
      <w:r>
        <w:rPr>
          <w:rFonts w:hint="eastAsia"/>
        </w:rPr>
        <w:t>第六章 体系建设支撑</w:t>
      </w:r>
      <w:bookmarkEnd w:id="109"/>
      <w:bookmarkEnd w:id="110"/>
      <w:bookmarkEnd w:id="111"/>
      <w:bookmarkEnd w:id="112"/>
      <w:bookmarkEnd w:id="113"/>
      <w:bookmarkEnd w:id="114"/>
      <w:bookmarkEnd w:id="115"/>
      <w:bookmarkEnd w:id="116"/>
      <w:bookmarkEnd w:id="117"/>
      <w:bookmarkEnd w:id="118"/>
      <w:bookmarkEnd w:id="119"/>
      <w:bookmarkEnd w:id="120"/>
      <w:bookmarkEnd w:id="121"/>
    </w:p>
    <w:p w14:paraId="3DC00735">
      <w:pPr>
        <w:pStyle w:val="4"/>
      </w:pPr>
      <w:bookmarkStart w:id="122" w:name="_Toc3409"/>
      <w:bookmarkStart w:id="123" w:name="_Toc52377975"/>
      <w:bookmarkStart w:id="124" w:name="_Toc140897009"/>
      <w:bookmarkStart w:id="125" w:name="_Toc139971288"/>
      <w:bookmarkStart w:id="126" w:name="_Toc119736278"/>
      <w:bookmarkStart w:id="127" w:name="_Toc120096076"/>
      <w:bookmarkStart w:id="128" w:name="_Toc120097061"/>
      <w:r>
        <w:rPr>
          <w:rFonts w:hint="eastAsia"/>
        </w:rPr>
        <w:t>6.1</w:t>
      </w:r>
      <w:r>
        <w:t xml:space="preserve"> </w:t>
      </w:r>
      <w:r>
        <w:rPr>
          <w:rFonts w:hint="eastAsia"/>
        </w:rPr>
        <w:t>建设氢能产业技术创新体系</w:t>
      </w:r>
      <w:bookmarkEnd w:id="122"/>
      <w:bookmarkEnd w:id="123"/>
    </w:p>
    <w:p w14:paraId="2E999621">
      <w:pPr>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落实和推动大同市氢能产业规划、抢抓氢能产业发展先机，建设开放型、合作型的技术创新体系。通过引进国内外氢能产业成熟的前沿技术，借鉴有关国家以及国内省、市的经验，整合内部科技资源，围绕氢能产业链条的发展需求，布局建设一批创新创业共同体，贯通基础研究、应用开发、中试、市场化，探索高质量发展的有效模式，形成为全省、全国提供长期、安全、可靠、环保、价格合理的能源供应布局。</w:t>
      </w:r>
    </w:p>
    <w:p w14:paraId="68136AF3">
      <w:pPr>
        <w:pStyle w:val="302"/>
        <w:rPr>
          <w:color w:val="FF0000"/>
        </w:rPr>
      </w:pPr>
      <w:r>
        <w:rPr>
          <w:rFonts w:hint="eastAsia"/>
        </w:rPr>
        <w:t>鼓励政府、企业、高等院校、科研院所等多方联动，共同合作建立开放式的重点实验室、技术创新中心等创新载体，构建“政-产-学-研”自主技术创新体系。即以政府为主导，政府完善、推动科技创新的协调联动机制；以企业为主体，突出企业创新的主体地位；以高等院校为支撑，积极与国家级、省级自然科学基金合作，增强高等院校输出技术的能力与活力；以科研院所为平台，积极推动科技成果的转化工作，完善技术创新的市场导向机制，将科技成果转化为现实生产力。</w:t>
      </w:r>
    </w:p>
    <w:p w14:paraId="64C863B8">
      <w:pPr>
        <w:pStyle w:val="4"/>
      </w:pPr>
      <w:bookmarkStart w:id="129" w:name="_Toc19780"/>
      <w:bookmarkStart w:id="130" w:name="_Toc52377976"/>
      <w:r>
        <w:rPr>
          <w:rFonts w:hint="eastAsia"/>
        </w:rPr>
        <w:t>6.2</w:t>
      </w:r>
      <w:r>
        <w:t xml:space="preserve"> </w:t>
      </w:r>
      <w:r>
        <w:rPr>
          <w:rFonts w:hint="eastAsia"/>
        </w:rPr>
        <w:t>健全氢能产业统筹管理和协调发展机制</w:t>
      </w:r>
      <w:bookmarkEnd w:id="129"/>
      <w:bookmarkEnd w:id="130"/>
    </w:p>
    <w:p w14:paraId="09958B83">
      <w:pPr>
        <w:ind w:firstLine="560" w:firstLineChars="200"/>
      </w:pPr>
      <w:r>
        <w:rPr>
          <w:rFonts w:hint="eastAsia" w:ascii="Times New Roman" w:hAnsi="Times New Roman" w:eastAsia="楷体_GB2312" w:cs="Times New Roman"/>
          <w:sz w:val="28"/>
          <w:szCs w:val="30"/>
        </w:rPr>
        <w:t>根据省、市的决策部署，成立大同市氢能产业发展中心，承担氢能产业发展的技术支撑和服务保障工作，负责引进氢能产业资源。首先，大同市氢能产业发展中心与各协同部门，共同推进大同市氢能产业一体化的稳步发展。其次，各部门内部成立专项小组，强化氢能产业布局以及上下游产业链之间的统筹协调，加快推进氢能产业的联动发展。最后，强化利益共享机制，在积极推进氢能产业项目的落地过程中，充分激发各相关部门对产业联动的积极性，实现利益的合理分配和共享，推动大同市的均衡发展。</w:t>
      </w:r>
    </w:p>
    <w:p w14:paraId="6F7F31A0">
      <w:pPr>
        <w:pStyle w:val="4"/>
      </w:pPr>
      <w:bookmarkStart w:id="131" w:name="_Toc26808"/>
      <w:bookmarkStart w:id="132" w:name="_Toc52377977"/>
      <w:r>
        <w:rPr>
          <w:rFonts w:hint="eastAsia"/>
        </w:rPr>
        <w:t>6.3</w:t>
      </w:r>
      <w:r>
        <w:t xml:space="preserve"> </w:t>
      </w:r>
      <w:r>
        <w:rPr>
          <w:rFonts w:hint="eastAsia"/>
        </w:rPr>
        <w:t>打造氢能贸易中心</w:t>
      </w:r>
      <w:bookmarkEnd w:id="131"/>
      <w:bookmarkEnd w:id="132"/>
    </w:p>
    <w:p w14:paraId="4602A47D">
      <w:pPr>
        <w:ind w:firstLine="560" w:firstLineChars="200"/>
      </w:pPr>
      <w:r>
        <w:rPr>
          <w:rFonts w:hint="eastAsia" w:ascii="Times New Roman" w:hAnsi="Times New Roman" w:eastAsia="楷体_GB2312" w:cs="Times New Roman"/>
          <w:sz w:val="28"/>
          <w:szCs w:val="30"/>
        </w:rPr>
        <w:t>将大同市氢能产业打造成全省乃至全国的氢能贸易中心。夯实氢能产业发展基础，坚持统筹规划、分步实施，把握国内外氢能产业发展趋势，遵循氢能产业发展规律，结合大同市发展基础和特点，制定差异化、互补化的发展策略。推进氢能产业集成创新等建设，初步建成国内知名的氢能产业集聚区和示范区。壮大氢能产业的“政-产-学-研”队伍，积极对接科技含量高、发展质量高、带动能力强的氢能项目，形成大同市氢能产业核心装备制造能力。</w:t>
      </w:r>
      <w:r>
        <w:rPr>
          <w:rFonts w:ascii="Times New Roman" w:hAnsi="Times New Roman" w:eastAsia="楷体_GB2312" w:cs="Times New Roman"/>
          <w:sz w:val="28"/>
          <w:szCs w:val="30"/>
        </w:rPr>
        <w:t>结合氢能源产业链发展规划，</w:t>
      </w:r>
      <w:r>
        <w:rPr>
          <w:rFonts w:hint="eastAsia" w:ascii="Times New Roman" w:hAnsi="Times New Roman" w:eastAsia="楷体_GB2312" w:cs="Times New Roman"/>
          <w:sz w:val="28"/>
          <w:szCs w:val="30"/>
        </w:rPr>
        <w:t>在制氢、储氢、运氢、加氢、用氢等领域的核心技术达到国内先进水平。开展氢能产业基础应用技术攻关，建立健全检测认证、安全监管、质量监督等支撑体系，适时开展氢能贸易中心，打造精准有效对接的合作平台，将大同市丰富的氢能源向国内、国际输出。</w:t>
      </w:r>
    </w:p>
    <w:p w14:paraId="1BE25BFC">
      <w:pPr>
        <w:pStyle w:val="4"/>
        <w:ind w:left="0" w:firstLine="0" w:firstLineChars="0"/>
      </w:pPr>
      <w:bookmarkStart w:id="133" w:name="_Toc10787"/>
      <w:bookmarkStart w:id="134" w:name="_Toc52377978"/>
      <w:r>
        <w:rPr>
          <w:rFonts w:hint="eastAsia"/>
        </w:rPr>
        <w:t>6.4</w:t>
      </w:r>
      <w:r>
        <w:t xml:space="preserve"> </w:t>
      </w:r>
      <w:r>
        <w:rPr>
          <w:rFonts w:hint="eastAsia"/>
        </w:rPr>
        <w:t>打造氢能产业孵化平台</w:t>
      </w:r>
      <w:bookmarkEnd w:id="133"/>
      <w:bookmarkEnd w:id="134"/>
    </w:p>
    <w:p w14:paraId="44B85CE2">
      <w:pPr>
        <w:pStyle w:val="302"/>
      </w:pPr>
      <w:r>
        <w:rPr>
          <w:rFonts w:hint="eastAsia"/>
          <w:lang w:val="zh-CN"/>
        </w:rPr>
        <w:t>充分发挥市政府在招商引资和市场优化资源配置中的双重作用，制定长期氢能发展战略，打造氢能企业孵化平台。利用</w:t>
      </w:r>
      <w:r>
        <w:rPr>
          <w:rFonts w:hint="eastAsia"/>
        </w:rPr>
        <w:t>氢能产业孵化平台进行人才的引进，</w:t>
      </w:r>
      <w:r>
        <w:rPr>
          <w:rFonts w:hint="eastAsia"/>
          <w:lang w:val="zh-CN"/>
        </w:rPr>
        <w:t>鼓励氢能高端技术人才携带具有自主知识产权的科技成果到大同市氢能产业园创业，在政策、金融、法律、信息等方面提供服务，将大同市氢能产业孵化平台打造成全国知名的氢能产业服务中心。同时利用</w:t>
      </w:r>
      <w:r>
        <w:rPr>
          <w:rFonts w:hint="eastAsia"/>
        </w:rPr>
        <w:t>氢能产业孵化平台进行对外技术交流与引进，通过</w:t>
      </w:r>
      <w:r>
        <w:rPr>
          <w:rFonts w:hint="eastAsia"/>
          <w:lang w:val="zh-CN"/>
        </w:rPr>
        <w:t>消化吸收，不断培育本地氢能企业，在基础研究、应用开发、中试、市场化等领域孵化一批拥有自主知识产权、竞争力较强的创新型企业，奠定大同市在全省，乃至全国氢能领域的领先位置。</w:t>
      </w:r>
    </w:p>
    <w:p w14:paraId="7C460507">
      <w:pPr>
        <w:pStyle w:val="4"/>
      </w:pPr>
      <w:bookmarkStart w:id="135" w:name="_Toc31101"/>
      <w:bookmarkStart w:id="136" w:name="_Toc52377979"/>
      <w:r>
        <w:rPr>
          <w:rFonts w:hint="eastAsia"/>
        </w:rPr>
        <w:t>6.5</w:t>
      </w:r>
      <w:r>
        <w:t xml:space="preserve"> </w:t>
      </w:r>
      <w:r>
        <w:rPr>
          <w:rFonts w:hint="eastAsia"/>
        </w:rPr>
        <w:t>畅通氢能产业关键技术和高端人才引进渠道</w:t>
      </w:r>
      <w:bookmarkEnd w:id="135"/>
      <w:bookmarkEnd w:id="136"/>
    </w:p>
    <w:p w14:paraId="4A653FC6">
      <w:pPr>
        <w:pStyle w:val="302"/>
        <w:rPr>
          <w:color w:val="FF0000"/>
          <w:lang w:val="zh-CN"/>
        </w:rPr>
      </w:pPr>
      <w:r>
        <w:rPr>
          <w:rFonts w:hint="eastAsia"/>
        </w:rPr>
        <w:t>根据国家、省</w:t>
      </w:r>
      <w:r>
        <w:rPr>
          <w:rFonts w:hint="eastAsia"/>
          <w:lang w:val="zh-CN"/>
        </w:rPr>
        <w:t>氢能产业规划，将氢能产业关键技术和高端人才引进制度纳入现有制度，畅通技术与人才引进渠道。落实技术与人才引进各项优惠政策，对带技术、带成果、带项目的人才及创业团队，在项目申请、土地、奖励荣誉等方面给予支持。坚持科技创新。以氢能产业发展的关键问题为导向，以氢能产业落地的重大项目为媒介，通过技术引入和合作开发等方式，对接国内外先进氢能产业技术资源，加大研发投入力度，加大引进消化吸收再创新力度，积极推动氢能产业的实施。坚持人才为本。在全球范围内吸引一批已取得尖端成果、做出卓越贡献的高端人才，充分释放人才红利，注重创新人才的培养与优化配置，注重完善创新人才的激励机制以及尖端人才灵活服务机制，注重营造有利于人才创新的社会文化氛围。确保高端专业人才</w:t>
      </w:r>
      <w:r>
        <w:rPr>
          <w:rFonts w:hint="eastAsia" w:ascii="宋体" w:hAnsi="宋体" w:eastAsia="宋体" w:cs="宋体"/>
          <w:lang w:val="zh-CN"/>
        </w:rPr>
        <w:t>“</w:t>
      </w:r>
      <w:r>
        <w:rPr>
          <w:rFonts w:hint="eastAsia"/>
          <w:lang w:val="zh-CN"/>
        </w:rPr>
        <w:t>引进来、留得住</w:t>
      </w:r>
      <w:r>
        <w:rPr>
          <w:rFonts w:hint="eastAsia" w:ascii="宋体" w:hAnsi="宋体" w:eastAsia="宋体" w:cs="宋体"/>
          <w:lang w:val="zh-CN"/>
        </w:rPr>
        <w:t>”</w:t>
      </w:r>
      <w:r>
        <w:rPr>
          <w:rFonts w:hint="eastAsia"/>
          <w:lang w:val="zh-CN"/>
        </w:rPr>
        <w:t>，为大同市引进氢能项目、转化前沿技术、推动氢能规模化、产业化发展提供有效的智力支撑。</w:t>
      </w:r>
    </w:p>
    <w:p w14:paraId="42CECDE0">
      <w:pPr>
        <w:pStyle w:val="4"/>
      </w:pPr>
      <w:bookmarkStart w:id="137" w:name="_Toc9167"/>
      <w:bookmarkStart w:id="138" w:name="_Toc52377980"/>
      <w:r>
        <w:rPr>
          <w:rFonts w:hint="eastAsia"/>
        </w:rPr>
        <w:t>6.6</w:t>
      </w:r>
      <w:r>
        <w:t xml:space="preserve"> </w:t>
      </w:r>
      <w:r>
        <w:rPr>
          <w:rFonts w:hint="eastAsia"/>
        </w:rPr>
        <w:t>引领全国氢能产业标准体系</w:t>
      </w:r>
      <w:bookmarkEnd w:id="137"/>
      <w:bookmarkEnd w:id="138"/>
    </w:p>
    <w:bookmarkEnd w:id="124"/>
    <w:bookmarkEnd w:id="125"/>
    <w:bookmarkEnd w:id="126"/>
    <w:bookmarkEnd w:id="127"/>
    <w:bookmarkEnd w:id="128"/>
    <w:p w14:paraId="1BB2E3A9">
      <w:pPr>
        <w:pStyle w:val="302"/>
        <w:rPr>
          <w:lang w:val="zh-CN"/>
        </w:rPr>
      </w:pPr>
      <w:bookmarkStart w:id="139" w:name="_Toc465735004"/>
      <w:bookmarkStart w:id="140" w:name="_Toc268684776"/>
      <w:bookmarkStart w:id="141" w:name="_Toc465762923"/>
      <w:bookmarkStart w:id="142" w:name="_Toc263409009"/>
      <w:bookmarkStart w:id="143" w:name="_Toc465154767"/>
      <w:r>
        <w:rPr>
          <w:rFonts w:hint="eastAsia"/>
          <w:lang w:val="zh-CN"/>
        </w:rPr>
        <w:t>在大同市发展氢能产业的过程中，</w:t>
      </w:r>
      <w:r>
        <w:rPr>
          <w:rFonts w:hint="eastAsia"/>
        </w:rPr>
        <w:t>“政-产-学-研”</w:t>
      </w:r>
      <w:r>
        <w:rPr>
          <w:rFonts w:hint="eastAsia"/>
          <w:lang w:val="zh-CN"/>
        </w:rPr>
        <w:t>队伍要时刻关注国内外前沿氢能技术和产业发展现状，同时结合大同市氢能产业发展情况和自身优势，广泛收集氢能产业和氢能产品运营数据，出台</w:t>
      </w:r>
      <w:r>
        <w:rPr>
          <w:rFonts w:hint="eastAsia"/>
        </w:rPr>
        <w:t>制氢、储氢、运氢、加氢、用氢</w:t>
      </w:r>
      <w:r>
        <w:rPr>
          <w:rFonts w:hint="eastAsia"/>
          <w:lang w:val="zh-CN"/>
        </w:rPr>
        <w:t>等产业在消防、安全以及环保等方面的法规，制（修）订氢气、氢燃料电池和氢燃料汽车等氢能产品相关标准，建立健全氢能产业发展秩序，保障大同市氢能产业健康、有序发展，为全省、全国氢能产业的发展树立标杆。</w:t>
      </w:r>
    </w:p>
    <w:p w14:paraId="08D63301">
      <w:pPr>
        <w:pStyle w:val="2"/>
        <w:sectPr>
          <w:footerReference r:id="rId8" w:type="default"/>
          <w:pgSz w:w="11906" w:h="16838"/>
          <w:pgMar w:top="1418" w:right="1418" w:bottom="1418" w:left="1418" w:header="720" w:footer="720" w:gutter="0"/>
          <w:pgBorders w:offsetFrom="page">
            <w:top w:val="single" w:color="1F497D" w:themeColor="text2" w:sz="12" w:space="24"/>
            <w:bottom w:val="single" w:color="1F497D" w:themeColor="text2" w:sz="12" w:space="24"/>
          </w:pgBorders>
          <w:cols w:space="425" w:num="1"/>
          <w:docGrid w:type="lines" w:linePitch="312" w:charSpace="0"/>
        </w:sectPr>
      </w:pPr>
    </w:p>
    <w:p w14:paraId="6AF3462A">
      <w:pPr>
        <w:pStyle w:val="2"/>
      </w:pPr>
      <w:bookmarkStart w:id="144" w:name="_Toc8747"/>
      <w:bookmarkStart w:id="145" w:name="_Toc52377981"/>
      <w:r>
        <w:rPr>
          <w:rFonts w:hint="eastAsia"/>
        </w:rPr>
        <w:t>第七章 规划实施保障</w:t>
      </w:r>
      <w:bookmarkEnd w:id="144"/>
      <w:bookmarkEnd w:id="145"/>
    </w:p>
    <w:bookmarkEnd w:id="139"/>
    <w:bookmarkEnd w:id="140"/>
    <w:bookmarkEnd w:id="141"/>
    <w:bookmarkEnd w:id="142"/>
    <w:bookmarkEnd w:id="143"/>
    <w:p w14:paraId="1F67BDAC">
      <w:pPr>
        <w:pStyle w:val="4"/>
      </w:pPr>
      <w:bookmarkStart w:id="146" w:name="_Toc52377982"/>
      <w:bookmarkStart w:id="147" w:name="_Toc7117"/>
      <w:bookmarkStart w:id="148" w:name="_Toc465154768"/>
      <w:bookmarkStart w:id="149" w:name="_Toc465762924"/>
      <w:bookmarkStart w:id="150" w:name="_Toc465735005"/>
      <w:r>
        <w:rPr>
          <w:rFonts w:hint="eastAsia"/>
        </w:rPr>
        <w:t>7.1</w:t>
      </w:r>
      <w:r>
        <w:t xml:space="preserve"> </w:t>
      </w:r>
      <w:r>
        <w:rPr>
          <w:rFonts w:hint="eastAsia"/>
        </w:rPr>
        <w:t>加强政府引导</w:t>
      </w:r>
      <w:bookmarkEnd w:id="146"/>
      <w:bookmarkEnd w:id="147"/>
    </w:p>
    <w:p w14:paraId="01C452EB">
      <w:pPr>
        <w:ind w:firstLine="560" w:firstLineChars="200"/>
      </w:pPr>
      <w:r>
        <w:rPr>
          <w:rFonts w:hint="eastAsia" w:ascii="Times New Roman" w:hAnsi="Times New Roman" w:eastAsia="楷体_GB2312" w:cs="Times New Roman"/>
          <w:sz w:val="28"/>
          <w:szCs w:val="30"/>
        </w:rPr>
        <w:t>充分调动市场资源推动大同市氢能产业发展，强化政府的引导和协调联动作用，强化规范引导和政策激励，营造良好营商环境，提供应用场景。建立健全氢能产业领域相关法律法规、相关专项行动计划和管理办法，以及标准化等配套政策；完善政府采购及推广应用政策，在示范项目、市场订单、产业扶植政策等方面予以大力支持，建立符合技术创新与产业发展方向的政府采购技术标准体系，逐步面向全国采购推广应用；建立健全以企业为主体的技术创新机制和经营考核制度，同时加强制度核查手段；建立健全动态评估机制，定期对相关战略目标、计划执行等情况进行科学评估评价；建立健全工作联席会议制度与协调监督机制，及时协调和解决在发展氢能产业的过程中遇到的问题。同时，大同市政府在全省氢能产业发展的工作目标基础上，结合实际发展情况，将氢能产业发展的工作目标纳入经济社会发展目标，通过全市各区、各部门共同努力推动本规划的落实。</w:t>
      </w:r>
    </w:p>
    <w:p w14:paraId="000C23CD">
      <w:pPr>
        <w:pStyle w:val="4"/>
      </w:pPr>
      <w:bookmarkStart w:id="151" w:name="_Toc19125"/>
      <w:bookmarkStart w:id="152" w:name="_Toc52377983"/>
      <w:r>
        <w:rPr>
          <w:rFonts w:hint="eastAsia"/>
        </w:rPr>
        <w:t>7.2</w:t>
      </w:r>
      <w:r>
        <w:t xml:space="preserve"> </w:t>
      </w:r>
      <w:r>
        <w:rPr>
          <w:rFonts w:hint="eastAsia"/>
        </w:rPr>
        <w:t>落实政策扶持与考核机制</w:t>
      </w:r>
      <w:bookmarkEnd w:id="151"/>
      <w:bookmarkEnd w:id="152"/>
    </w:p>
    <w:p w14:paraId="63CA7733">
      <w:pPr>
        <w:pStyle w:val="302"/>
      </w:pPr>
      <w:r>
        <w:rPr>
          <w:rFonts w:hint="eastAsia"/>
        </w:rPr>
        <w:t>落实政策扶持与考核机制，助力大同从</w:t>
      </w:r>
      <w:r>
        <w:rPr>
          <w:rFonts w:hint="eastAsia" w:ascii="宋体" w:hAnsi="宋体" w:eastAsia="宋体" w:cs="宋体"/>
        </w:rPr>
        <w:t>“</w:t>
      </w:r>
      <w:r>
        <w:rPr>
          <w:rFonts w:hint="eastAsia"/>
        </w:rPr>
        <w:t>煤都</w:t>
      </w:r>
      <w:r>
        <w:rPr>
          <w:rFonts w:hint="eastAsia" w:ascii="宋体" w:hAnsi="宋体" w:eastAsia="宋体" w:cs="宋体"/>
        </w:rPr>
        <w:t>”</w:t>
      </w:r>
      <w:r>
        <w:rPr>
          <w:rFonts w:hint="eastAsia"/>
        </w:rPr>
        <w:t>向建设</w:t>
      </w:r>
      <w:r>
        <w:rPr>
          <w:rFonts w:hint="eastAsia" w:ascii="宋体" w:hAnsi="宋体" w:eastAsia="宋体" w:cs="宋体"/>
        </w:rPr>
        <w:t>“</w:t>
      </w:r>
      <w:r>
        <w:rPr>
          <w:rFonts w:hint="eastAsia"/>
        </w:rPr>
        <w:t>氢都</w:t>
      </w:r>
      <w:r>
        <w:rPr>
          <w:rFonts w:hint="eastAsia" w:ascii="宋体" w:hAnsi="宋体" w:eastAsia="宋体" w:cs="宋体"/>
        </w:rPr>
        <w:t>”</w:t>
      </w:r>
      <w:r>
        <w:rPr>
          <w:rFonts w:hint="eastAsia"/>
        </w:rPr>
        <w:t>、</w:t>
      </w:r>
      <w:r>
        <w:rPr>
          <w:rFonts w:hint="eastAsia" w:ascii="宋体" w:hAnsi="宋体" w:eastAsia="宋体" w:cs="宋体"/>
        </w:rPr>
        <w:t>“</w:t>
      </w:r>
      <w:r>
        <w:rPr>
          <w:rFonts w:hint="eastAsia"/>
        </w:rPr>
        <w:t>新能源之都</w:t>
      </w:r>
      <w:r>
        <w:rPr>
          <w:rFonts w:hint="eastAsia" w:ascii="宋体" w:hAnsi="宋体" w:eastAsia="宋体" w:cs="宋体"/>
        </w:rPr>
        <w:t>”</w:t>
      </w:r>
      <w:r>
        <w:rPr>
          <w:rFonts w:hint="eastAsia"/>
        </w:rPr>
        <w:t>迈进。</w:t>
      </w:r>
      <w:r>
        <w:t>在科学分析</w:t>
      </w:r>
      <w:r>
        <w:rPr>
          <w:rFonts w:hint="eastAsia"/>
        </w:rPr>
        <w:t>国家和省出台的相关政策措施</w:t>
      </w:r>
      <w:r>
        <w:t>基础上</w:t>
      </w:r>
      <w:r>
        <w:rPr>
          <w:rFonts w:hint="eastAsia"/>
        </w:rPr>
        <w:t>，建立健全大同市多角度、全链条的扶持政策体系。针对创新创业共同体的实际需求，在土地批复、登记注册、奖励补助、税收返还补贴、专项补贴、建设用地、人员编制、项目审批以及建设运营资金等方面给予配套政策支持，提高政策支持的精准度，高效助力氢能产业发展。围绕技术创新、成果转化、科技金融、院所改革、人才激励等研究制定创新性政策措施，加强政策的相互衔接及配套落实，完善考核体系、制定具体评价体系和考核办法，对创新创业共同体实行目标导向的绩效考核，形成有进有出、优胜劣汰的动态管理机制。建立专家指导咨询制度，加强对创新创业共同体建设的技术指导、决策咨询和科学评价，指导推进创新创业共同体建设。建立监督考核制度，加强对产业政策落实、产业发展成效、营商环境优化、重大项目建设、基础设施网络配套等情况的评估检查，将氢能产业发展目标和阶段性工作任务纳入绩效考核内容，确保按时优质完成各项任务，对照本规划的内容开展定期或不定期的工作监督。</w:t>
      </w:r>
    </w:p>
    <w:p w14:paraId="26B9E23D">
      <w:pPr>
        <w:pStyle w:val="4"/>
      </w:pPr>
      <w:bookmarkStart w:id="153" w:name="_Toc15552"/>
      <w:bookmarkStart w:id="154" w:name="_Toc52377984"/>
      <w:r>
        <w:rPr>
          <w:rFonts w:hint="eastAsia"/>
        </w:rPr>
        <w:t>7.3</w:t>
      </w:r>
      <w:r>
        <w:t xml:space="preserve"> </w:t>
      </w:r>
      <w:r>
        <w:rPr>
          <w:rFonts w:hint="eastAsia"/>
        </w:rPr>
        <w:t>引导市场资源配置</w:t>
      </w:r>
      <w:bookmarkEnd w:id="153"/>
      <w:bookmarkEnd w:id="154"/>
    </w:p>
    <w:p w14:paraId="1395BE59">
      <w:pPr>
        <w:ind w:firstLine="42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充分发挥市场配置创新资源的决定性作用，消除制约氢能产业的机制障碍和市场壁垒，健全技术创新市场导向机制。建立统一权威、公开透明、良性竞争的市场规则，激发创新主体和全市创新创业的活力与潜能，强化科技和经济社会发展的紧密结合；建立企业主导的产业技术创新机制，支持企业自主决策、先行投入开展研发攻关，构建一批产业技术创新战略联盟，重点支持产业联盟搭建专利、标准、检测认证、展示推广及交流平台。</w:t>
      </w:r>
    </w:p>
    <w:p w14:paraId="1A252FA9">
      <w:pPr>
        <w:ind w:firstLine="42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建设研究开发、技术转移和融资、检验检测认证、质量标准、知识产权和科技咨询等服务平台。鼓励社会化新型研发机构发展，优化重点实验室、技术创新中心等创新载体布局。加快发展高端创业孵化平台，提供集创业孵化、资本对接、营销服务等为一体的创新创业服务，为氢能产业的集约化、专业化、市场化的创新创造环境。</w:t>
      </w:r>
    </w:p>
    <w:bookmarkEnd w:id="148"/>
    <w:bookmarkEnd w:id="149"/>
    <w:bookmarkEnd w:id="150"/>
    <w:p w14:paraId="6A021675">
      <w:pPr>
        <w:pStyle w:val="4"/>
      </w:pPr>
      <w:bookmarkStart w:id="155" w:name="_Toc52377985"/>
      <w:bookmarkStart w:id="156" w:name="_Toc13253"/>
      <w:r>
        <w:rPr>
          <w:rFonts w:hint="eastAsia"/>
        </w:rPr>
        <w:t>7</w:t>
      </w:r>
      <w:r>
        <w:t xml:space="preserve">.4 </w:t>
      </w:r>
      <w:r>
        <w:rPr>
          <w:rFonts w:hint="eastAsia"/>
        </w:rPr>
        <w:t>营造氢能产业绿色发展环境</w:t>
      </w:r>
      <w:bookmarkEnd w:id="155"/>
      <w:bookmarkEnd w:id="156"/>
    </w:p>
    <w:p w14:paraId="0BA237C0">
      <w:pPr>
        <w:ind w:firstLine="560" w:firstLineChars="200"/>
        <w:rPr>
          <w:rFonts w:ascii="Times New Roman" w:hAnsi="Times New Roman" w:eastAsia="楷体_GB2312" w:cs="Times New Roman"/>
          <w:sz w:val="28"/>
          <w:szCs w:val="30"/>
        </w:rPr>
      </w:pPr>
      <w:r>
        <w:rPr>
          <w:rFonts w:hint="eastAsia" w:ascii="Times New Roman" w:hAnsi="Times New Roman" w:eastAsia="楷体_GB2312" w:cs="Times New Roman"/>
          <w:sz w:val="28"/>
          <w:szCs w:val="30"/>
        </w:rPr>
        <w:t>将氢能产业发展纳入大同市重点工作计划中，营造适宜大同市氢能产业快速发展的产业环境。加强创新资源整合，强化产业政策统筹，完善成果转化机制，营造良好的产业生态环境。氢能产业重点项目所在地要做好土地、资金、资源、环保、质监、安全等方面的审批核准、建设、运营等服务保障工作，探索建设支撑产业创新发展的新机制、新政策。将涉氢产业纳入“绿色通道”，率先制定有利于氢能产业发展的管理办法和标准体系，确保大同市氢能产业的推广顺利进行。为制氢、储氢、运氢、加氢、用氢产业的重点项目开辟绿色通道，推动重点项目落地，奠定大同市氢能产业快速且有序发展的基础。保障氢能产业健康有序发展。</w:t>
      </w:r>
    </w:p>
    <w:p w14:paraId="4438625D">
      <w:pPr>
        <w:pStyle w:val="4"/>
      </w:pPr>
      <w:bookmarkStart w:id="157" w:name="_Toc19191"/>
      <w:bookmarkStart w:id="158" w:name="_Toc18359849"/>
      <w:bookmarkStart w:id="159" w:name="_Toc52377986"/>
      <w:r>
        <w:rPr>
          <w:rFonts w:hint="eastAsia"/>
        </w:rPr>
        <w:t>7.5</w:t>
      </w:r>
      <w:bookmarkEnd w:id="157"/>
      <w:bookmarkEnd w:id="158"/>
      <w:bookmarkStart w:id="160" w:name="_Toc9615"/>
      <w:r>
        <w:t xml:space="preserve"> </w:t>
      </w:r>
      <w:r>
        <w:rPr>
          <w:rFonts w:hint="eastAsia"/>
        </w:rPr>
        <w:t>提升氢能产业安全保障与应急措施能力</w:t>
      </w:r>
      <w:bookmarkEnd w:id="159"/>
      <w:bookmarkEnd w:id="160"/>
    </w:p>
    <w:p w14:paraId="16813F00">
      <w:pPr>
        <w:pStyle w:val="302"/>
      </w:pPr>
      <w:r>
        <w:rPr>
          <w:rFonts w:hint="eastAsia"/>
        </w:rPr>
        <w:t>氢能产业的能源载体氢气属于易燃易爆的危险气体，而且气氢、液氢的储存和运输过程属于高压、低温的范畴，具有一定危险性。坚持安全为首、源头防范，在氢气易发生泄露的薄弱环节优化设计，降低氢气泄露可能性，同时建立氢能产业应急管理制度和行动指南。</w:t>
      </w:r>
    </w:p>
    <w:p w14:paraId="32D25714">
      <w:pPr>
        <w:pStyle w:val="302"/>
      </w:pPr>
      <w:r>
        <w:rPr>
          <w:rFonts w:hint="eastAsia"/>
        </w:rPr>
        <w:t>积极推动氢能产业检验检测等公共服务平台，完善制氢、储氢、运氢、加氢、用氢等安全技术体系、监督管理体系，形成氢能产业安全发展长效机制。强化氢能产业领导小组内氢能产业安全委员会、专家组等的监管指导作用，建立健全氢能产业安全保障体系，严格控制涉氢项目的审批、安全生产准入机制，建设氢能产业云平台，实现上下游产业数据与运营数据的实时传输与跟踪监测。强化氢能产业重大安全风险的管控，从严做好安全风险化解措施，针对可能出现的紧急危险情况进行充分论证，研究相应对策。强化氢安全教育、氢能应用与技术宣传，利用各类媒体普及氢安全知识，提高全社会对氢能源安全性的认知和风险防范意识，提升全市应急能力，确保氢能产品的安全使用，认真落实安全生产责任，形成有利于氢能产业发展的良好社会氛围，保障氢能产业的安全发展。</w:t>
      </w:r>
    </w:p>
    <w:p w14:paraId="2E46180E">
      <w:pPr>
        <w:pStyle w:val="302"/>
      </w:pPr>
    </w:p>
    <w:sectPr>
      <w:footerReference r:id="rId9" w:type="default"/>
      <w:pgSz w:w="11906" w:h="16838"/>
      <w:pgMar w:top="1418" w:right="1418" w:bottom="1418" w:left="1418" w:header="720" w:footer="720" w:gutter="0"/>
      <w:pgBorders w:offsetFrom="page">
        <w:top w:val="single" w:color="1F497D" w:themeColor="text2" w:sz="12" w:space="24"/>
        <w:bottom w:val="single" w:color="1F497D" w:themeColor="text2" w:sz="12" w:space="24"/>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10" w:usb3="00000000" w:csb0="0004009F" w:csb1="00000000"/>
  </w:font>
  <w:font w:name="Monospac821 BT">
    <w:altName w:val="Segoe Print"/>
    <w:panose1 w:val="020B0609020202020204"/>
    <w:charset w:val="00"/>
    <w:family w:val="modern"/>
    <w:pitch w:val="default"/>
    <w:sig w:usb0="00000000" w:usb1="00000000" w:usb2="00000000" w:usb3="00000000" w:csb0="0000001B" w:csb1="00000000"/>
  </w:font>
  <w:font w:name="Segoe Print">
    <w:panose1 w:val="02000600000000000000"/>
    <w:charset w:val="00"/>
    <w:family w:val="auto"/>
    <w:pitch w:val="default"/>
    <w:sig w:usb0="0000028F" w:usb1="00000000" w:usb2="00000000" w:usb3="00000000" w:csb0="2000009F" w:csb1="4701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Univers">
    <w:altName w:val="Segoe Print"/>
    <w:panose1 w:val="00000000000000000000"/>
    <w:charset w:val="00"/>
    <w:family w:val="swiss"/>
    <w:pitch w:val="default"/>
    <w:sig w:usb0="00000000" w:usb1="00000000" w:usb2="00000000" w:usb3="00000000" w:csb0="0000000F" w:csb1="00000000"/>
  </w:font>
  <w:font w:name="..ì.">
    <w:altName w:val="宋体"/>
    <w:panose1 w:val="00000000000000000000"/>
    <w:charset w:val="86"/>
    <w:family w:val="auto"/>
    <w:pitch w:val="default"/>
    <w:sig w:usb0="00000000" w:usb1="00000000" w:usb2="00000010" w:usb3="00000000" w:csb0="00040000" w:csb1="00000000"/>
  </w:font>
  <w:font w:name="汉鼎简书宋">
    <w:altName w:val="宋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Garamond">
    <w:panose1 w:val="02020404030301010803"/>
    <w:charset w:val="00"/>
    <w:family w:val="roman"/>
    <w:pitch w:val="default"/>
    <w:sig w:usb0="00000287" w:usb1="00000000" w:usb2="00000000" w:usb3="00000000" w:csb0="0000009F" w:csb1="DFD70000"/>
  </w:font>
  <w:font w:name="Times New Roman;Symbol;Arial;婼">
    <w:altName w:val="黑体"/>
    <w:panose1 w:val="00000000000000000000"/>
    <w:charset w:val="86"/>
    <w:family w:val="auto"/>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TimesNewRomanPSMT">
    <w:altName w:val="Times New Roman"/>
    <w:panose1 w:val="00000000000000000000"/>
    <w:charset w:val="00"/>
    <w:family w:val="roman"/>
    <w:pitch w:val="default"/>
    <w:sig w:usb0="00000000" w:usb1="00000000" w:usb2="00000000" w:usb3="00000000" w:csb0="00000000" w:csb1="00000000"/>
  </w:font>
  <w:font w:name="TT44o02">
    <w:altName w:val="Times New Roman"/>
    <w:panose1 w:val="00000000000000000000"/>
    <w:charset w:val="00"/>
    <w:family w:val="roman"/>
    <w:pitch w:val="default"/>
    <w:sig w:usb0="00000000" w:usb1="00000000" w:usb2="00000000" w:usb3="00000000" w:csb0="00000000" w:csb1="00000000"/>
  </w:font>
  <w:font w:name="TT44o04">
    <w:altName w:val="Times New Roman"/>
    <w:panose1 w:val="00000000000000000000"/>
    <w:charset w:val="00"/>
    <w:family w:val="roman"/>
    <w:pitch w:val="default"/>
    <w:sig w:usb0="00000000" w:usb1="00000000" w:usb2="00000000" w:usb3="00000000" w:csb0="00000000" w:csb1="00000000"/>
  </w:font>
  <w:font w:name="TimesNewRoman">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DE11D">
    <w:pPr>
      <w:pStyle w:val="41"/>
      <w:framePr w:wrap="around" w:vAnchor="text" w:hAnchor="margin" w:xAlign="center" w:y="1"/>
      <w:rPr>
        <w:rStyle w:val="67"/>
      </w:rPr>
    </w:pPr>
  </w:p>
  <w:p w14:paraId="02B0E1E6">
    <w:pPr>
      <w:pStyle w:val="41"/>
      <w:ind w:right="359" w:rightChars="171" w:firstLine="2289" w:firstLineChars="109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4D847">
    <w:pPr>
      <w:pStyle w:val="41"/>
      <w:ind w:right="359" w:rightChars="171" w:firstLine="1473" w:firstLineChars="978"/>
      <w:rPr>
        <w:rFonts w:ascii="Arial" w:hAnsi="Arial" w:eastAsia="楷体_GB2312" w:cs="Arial"/>
        <w:b/>
        <w:bCs/>
        <w:sz w:val="15"/>
      </w:rPr>
    </w:pPr>
    <w:r>
      <w:rPr>
        <w:rFonts w:ascii="Arial" w:hAnsi="Arial" w:eastAsia="楷体_GB2312" w:cs="Arial"/>
        <w:b/>
        <w:bCs/>
        <w:sz w:val="15"/>
      </w:rPr>
      <w:pict>
        <v:line id="Line 36" o:spid="_x0000_s4097" o:spt="20" style="position:absolute;left:0pt;margin-left:-1pt;margin-top:-2.45pt;height:0pt;width:417.95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">
          <v:path arrowok="t"/>
          <v:fill focussize="0,0"/>
          <v:stroke weight="0.5pt"/>
          <v:imagedata o:title=""/>
          <o:lock v:ext="edit"/>
        </v:line>
      </w:pict>
    </w:r>
    <w:r>
      <w:rPr>
        <w:rFonts w:hint="eastAsia" w:ascii="Arial" w:hAnsi="Arial" w:eastAsia="楷体_GB2312" w:cs="Arial"/>
        <w:b/>
        <w:bCs/>
        <w:sz w:val="15"/>
      </w:rPr>
      <w:t>本文件包含赛鼎工程有限公司技术成果，未经本公司许可不得转给第三方或复制</w:t>
    </w:r>
  </w:p>
  <w:p w14:paraId="63626AC0">
    <w:pPr>
      <w:pStyle w:val="41"/>
      <w:ind w:right="360"/>
      <w:jc w:val="center"/>
    </w:pPr>
    <w:r>
      <w:rPr>
        <w:rFonts w:hint="eastAsia" w:ascii="Arial" w:hAnsi="Arial" w:cs="Arial"/>
        <w:sz w:val="15"/>
      </w:rPr>
      <w:t xml:space="preserve">This document contains proprietary information of SEDIN.  To be kept confidential.   </w:t>
    </w:r>
    <w:r>
      <w:rPr>
        <w:rStyle w:val="67"/>
      </w:rPr>
      <w:fldChar w:fldCharType="begin"/>
    </w:r>
    <w:r>
      <w:rPr>
        <w:rStyle w:val="67"/>
      </w:rPr>
      <w:instrText xml:space="preserve"> PAGE </w:instrText>
    </w:r>
    <w:r>
      <w:rPr>
        <w:rStyle w:val="67"/>
      </w:rPr>
      <w:fldChar w:fldCharType="separate"/>
    </w:r>
    <w:r>
      <w:rPr>
        <w:rStyle w:val="67"/>
      </w:rPr>
      <w:t>87</w:t>
    </w:r>
    <w:r>
      <w:rPr>
        <w:rStyle w:val="67"/>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6A07F">
    <w:pPr>
      <w:pStyle w:val="41"/>
      <w:ind w:right="360" w:firstLine="300"/>
      <w:jc w:val="center"/>
    </w:pPr>
    <w:r>
      <w:rPr>
        <w:rStyle w:val="67"/>
        <w:rFonts w:ascii="Arial" w:hAnsi="Arial" w:cs="Arial"/>
      </w:rPr>
      <w:fldChar w:fldCharType="begin"/>
    </w:r>
    <w:r>
      <w:rPr>
        <w:rStyle w:val="67"/>
        <w:rFonts w:ascii="Arial" w:hAnsi="Arial" w:cs="Arial"/>
      </w:rPr>
      <w:instrText xml:space="preserve"> PAGE </w:instrText>
    </w:r>
    <w:r>
      <w:rPr>
        <w:rStyle w:val="67"/>
        <w:rFonts w:ascii="Arial" w:hAnsi="Arial" w:cs="Arial"/>
      </w:rPr>
      <w:fldChar w:fldCharType="separate"/>
    </w:r>
    <w:r>
      <w:rPr>
        <w:rStyle w:val="67"/>
        <w:rFonts w:ascii="Arial" w:hAnsi="Arial" w:cs="Arial"/>
      </w:rPr>
      <w:t>1</w:t>
    </w:r>
    <w:r>
      <w:rPr>
        <w:rStyle w:val="67"/>
        <w:rFonts w:ascii="Arial" w:hAnsi="Arial" w:cs="Arial"/>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CE129">
    <w:pPr>
      <w:pStyle w:val="41"/>
      <w:framePr w:wrap="around" w:vAnchor="text" w:hAnchor="margin" w:xAlign="center" w:y="1"/>
      <w:rPr>
        <w:rStyle w:val="67"/>
      </w:rPr>
    </w:pPr>
  </w:p>
  <w:p w14:paraId="22A9ADB2">
    <w:pPr>
      <w:pStyle w:val="41"/>
      <w:ind w:right="360" w:firstLine="300"/>
      <w:jc w:val="center"/>
    </w:pPr>
    <w:r>
      <w:rPr>
        <w:rStyle w:val="67"/>
        <w:rFonts w:ascii="Arial" w:hAnsi="Arial" w:cs="Arial"/>
      </w:rPr>
      <w:fldChar w:fldCharType="begin"/>
    </w:r>
    <w:r>
      <w:rPr>
        <w:rStyle w:val="67"/>
        <w:rFonts w:ascii="Arial" w:hAnsi="Arial" w:cs="Arial"/>
      </w:rPr>
      <w:instrText xml:space="preserve"> PAGE </w:instrText>
    </w:r>
    <w:r>
      <w:rPr>
        <w:rStyle w:val="67"/>
        <w:rFonts w:ascii="Arial" w:hAnsi="Arial" w:cs="Arial"/>
      </w:rPr>
      <w:fldChar w:fldCharType="separate"/>
    </w:r>
    <w:r>
      <w:rPr>
        <w:rStyle w:val="67"/>
        <w:rFonts w:ascii="Arial" w:hAnsi="Arial" w:cs="Arial"/>
      </w:rPr>
      <w:t>61</w:t>
    </w:r>
    <w:r>
      <w:rPr>
        <w:rStyle w:val="67"/>
        <w:rFonts w:ascii="Arial" w:hAnsi="Arial" w:cs="Arial"/>
      </w:rPr>
      <w:fldChar w:fldCharType="end"/>
    </w:r>
  </w:p>
  <w:p w14:paraId="468649DC">
    <w:pPr>
      <w:pStyle w:val="41"/>
      <w:ind w:right="359" w:rightChars="171" w:firstLine="301"/>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264C7">
    <w:pPr>
      <w:pStyle w:val="41"/>
      <w:framePr w:wrap="around" w:vAnchor="text" w:hAnchor="margin" w:xAlign="center" w:y="1"/>
      <w:rPr>
        <w:rStyle w:val="67"/>
      </w:rPr>
    </w:pPr>
  </w:p>
  <w:p w14:paraId="391D6FAA">
    <w:pPr>
      <w:pStyle w:val="41"/>
      <w:ind w:right="360" w:firstLine="300"/>
      <w:jc w:val="center"/>
    </w:pPr>
    <w:r>
      <w:rPr>
        <w:rStyle w:val="67"/>
        <w:rFonts w:ascii="Arial" w:hAnsi="Arial" w:cs="Arial"/>
      </w:rPr>
      <w:fldChar w:fldCharType="begin"/>
    </w:r>
    <w:r>
      <w:rPr>
        <w:rStyle w:val="67"/>
        <w:rFonts w:ascii="Arial" w:hAnsi="Arial" w:cs="Arial"/>
      </w:rPr>
      <w:instrText xml:space="preserve"> PAGE </w:instrText>
    </w:r>
    <w:r>
      <w:rPr>
        <w:rStyle w:val="67"/>
        <w:rFonts w:ascii="Arial" w:hAnsi="Arial" w:cs="Arial"/>
      </w:rPr>
      <w:fldChar w:fldCharType="separate"/>
    </w:r>
    <w:r>
      <w:rPr>
        <w:rStyle w:val="67"/>
        <w:rFonts w:ascii="Arial" w:hAnsi="Arial" w:cs="Arial"/>
      </w:rPr>
      <w:t>65</w:t>
    </w:r>
    <w:r>
      <w:rPr>
        <w:rStyle w:val="67"/>
        <w:rFonts w:ascii="Arial" w:hAnsi="Arial" w:cs="Arial"/>
      </w:rPr>
      <w:fldChar w:fldCharType="end"/>
    </w:r>
  </w:p>
  <w:p w14:paraId="513DB616">
    <w:pPr>
      <w:pStyle w:val="41"/>
      <w:ind w:right="359" w:rightChars="171" w:firstLine="301"/>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F15EC">
    <w:pPr>
      <w:wordWrap w:val="0"/>
      <w:adjustRightInd w:val="0"/>
      <w:snapToGrid w:val="0"/>
      <w:jc w:val="right"/>
      <w:rPr>
        <w:rFonts w:ascii="楷体_GB2312" w:hAnsi="宋体" w:eastAsia="楷体_GB2312" w:cs="Arial"/>
        <w:color w:val="000000"/>
        <w:sz w:val="18"/>
        <w:szCs w:val="18"/>
      </w:rPr>
    </w:pPr>
    <w:r>
      <w:rPr>
        <w:rFonts w:hint="eastAsia" w:asciiTheme="minorEastAsia" w:hAnsiTheme="minorEastAsia"/>
      </w:rPr>
      <w:drawing>
        <wp:anchor distT="0" distB="0" distL="114300" distR="114300" simplePos="0" relativeHeight="251660288" behindDoc="1" locked="0" layoutInCell="1" allowOverlap="1">
          <wp:simplePos x="0" y="0"/>
          <wp:positionH relativeFrom="column">
            <wp:posOffset>0</wp:posOffset>
          </wp:positionH>
          <wp:positionV relativeFrom="paragraph">
            <wp:posOffset>-3810</wp:posOffset>
          </wp:positionV>
          <wp:extent cx="685800" cy="265430"/>
          <wp:effectExtent l="19050" t="0" r="0" b="0"/>
          <wp:wrapTight wrapText="bothSides">
            <wp:wrapPolygon>
              <wp:start x="-600" y="0"/>
              <wp:lineTo x="-600" y="20153"/>
              <wp:lineTo x="21600" y="20153"/>
              <wp:lineTo x="21600" y="0"/>
              <wp:lineTo x="-600" y="0"/>
            </wp:wrapPolygon>
          </wp:wrapTight>
          <wp:docPr id="27" name="图片 27" descr="ss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ssedin"/>
                  <pic:cNvPicPr>
                    <a:picLocks noChangeAspect="1" noChangeArrowheads="1"/>
                  </pic:cNvPicPr>
                </pic:nvPicPr>
                <pic:blipFill>
                  <a:blip r:embed="rId1"/>
                  <a:srcRect/>
                  <a:stretch>
                    <a:fillRect/>
                  </a:stretch>
                </pic:blipFill>
                <pic:spPr>
                  <a:xfrm>
                    <a:off x="0" y="0"/>
                    <a:ext cx="685800" cy="265430"/>
                  </a:xfrm>
                  <a:prstGeom prst="rect">
                    <a:avLst/>
                  </a:prstGeom>
                  <a:noFill/>
                  <a:ln w="9525">
                    <a:noFill/>
                    <a:miter lim="800000"/>
                    <a:headEnd/>
                    <a:tailEnd/>
                  </a:ln>
                </pic:spPr>
              </pic:pic>
            </a:graphicData>
          </a:graphic>
        </wp:anchor>
      </w:drawing>
    </w:r>
    <w:r>
      <w:rPr>
        <w:rFonts w:hint="eastAsia" w:asciiTheme="minorEastAsia" w:hAnsiTheme="minorEastAsia"/>
        <w:sz w:val="18"/>
        <w:szCs w:val="18"/>
      </w:rPr>
      <w:t>赛鼎工程有限公司                      潞安煤基合成特种燃料与精细化工研发有限公司</w:t>
    </w:r>
  </w:p>
  <w:p w14:paraId="75677C7D">
    <w:pPr>
      <w:pStyle w:val="42"/>
      <w:pBdr>
        <w:bottom w:val="single" w:color="auto" w:sz="6" w:space="0"/>
      </w:pBdr>
      <w:wordWrap w:val="0"/>
      <w:adjustRightInd w:val="0"/>
      <w:jc w:val="right"/>
      <w:rPr>
        <w:rFonts w:eastAsia="楷体_GB2312"/>
        <w:color w:val="000000"/>
      </w:rPr>
    </w:pPr>
    <w:r>
      <w:rPr>
        <w:rFonts w:eastAsia="楷体_GB2312"/>
        <w:color w:val="000000"/>
      </w:rPr>
      <w:t>SEDIN Engineering Co., Ltd</w:t>
    </w:r>
    <w:r>
      <w:rPr>
        <w:rFonts w:hint="eastAsia" w:eastAsia="楷体_GB2312"/>
        <w:color w:val="000000"/>
        <w:sz w:val="18"/>
        <w:szCs w:val="18"/>
      </w:rPr>
      <w:t>5</w:t>
    </w:r>
    <w:r>
      <w:rPr>
        <w:rFonts w:eastAsiaTheme="minorEastAsia"/>
        <w:sz w:val="18"/>
        <w:szCs w:val="18"/>
      </w:rPr>
      <w:t>00</w:t>
    </w:r>
    <w:r>
      <w:rPr>
        <w:rFonts w:hAnsiTheme="minorEastAsia" w:eastAsiaTheme="minorEastAsia"/>
        <w:sz w:val="18"/>
        <w:szCs w:val="18"/>
      </w:rPr>
      <w:t>套</w:t>
    </w:r>
    <w:r>
      <w:rPr>
        <w:rFonts w:eastAsiaTheme="minorEastAsia"/>
        <w:sz w:val="18"/>
        <w:szCs w:val="18"/>
      </w:rPr>
      <w:t>/a</w:t>
    </w:r>
    <w:r>
      <w:rPr>
        <w:rFonts w:hAnsiTheme="minorEastAsia" w:eastAsiaTheme="minorEastAsia"/>
        <w:sz w:val="18"/>
        <w:szCs w:val="18"/>
      </w:rPr>
      <w:t>氢燃</w:t>
    </w:r>
    <w:r>
      <w:rPr>
        <w:rFonts w:hint="eastAsia" w:asciiTheme="minorEastAsia" w:hAnsiTheme="minorEastAsia" w:eastAsiaTheme="minorEastAsia" w:cstheme="minorBidi"/>
        <w:sz w:val="18"/>
        <w:szCs w:val="18"/>
      </w:rPr>
      <w:t>料电堆（40kW）生产厂可行性研究报告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0A430">
    <w:pPr>
      <w:pStyle w:val="42"/>
      <w:rPr>
        <w:rFonts w:eastAsia="楷体_GB2312"/>
        <w:b/>
        <w:sz w:val="24"/>
      </w:rPr>
    </w:pPr>
    <w:r>
      <w:rPr>
        <w:rFonts w:hint="eastAsia" w:eastAsia="楷体_GB2312"/>
        <w:b/>
        <w:sz w:val="24"/>
      </w:rPr>
      <w:t>大同市</w:t>
    </w:r>
    <w:r>
      <w:rPr>
        <w:rFonts w:eastAsia="楷体_GB2312"/>
        <w:b/>
        <w:sz w:val="24"/>
      </w:rPr>
      <w:t>氢能产业发展规划</w:t>
    </w:r>
    <w:r>
      <w:rPr>
        <w:rFonts w:hint="eastAsia" w:eastAsia="楷体_GB2312"/>
        <w:b/>
        <w:sz w:val="24"/>
      </w:rPr>
      <w:t xml:space="preserve">                                         大同市政府</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E02FD9"/>
    <w:multiLevelType w:val="multilevel"/>
    <w:tmpl w:val="13E02FD9"/>
    <w:lvl w:ilvl="0" w:tentative="0">
      <w:start w:val="1"/>
      <w:numFmt w:val="chineseCountingThousand"/>
      <w:pStyle w:val="761"/>
      <w:lvlText w:val="第%1章"/>
      <w:lvlJc w:val="center"/>
      <w:pPr>
        <w:tabs>
          <w:tab w:val="left" w:pos="1418"/>
        </w:tabs>
        <w:ind w:left="1418" w:hanging="1130"/>
      </w:pPr>
      <w:rPr>
        <w:rFonts w:hint="eastAsia"/>
      </w:rPr>
    </w:lvl>
    <w:lvl w:ilvl="1" w:tentative="0">
      <w:start w:val="1"/>
      <w:numFmt w:val="decimal"/>
      <w:pStyle w:val="762"/>
      <w:isLgl/>
      <w:lvlText w:val="%1.%2"/>
      <w:lvlJc w:val="left"/>
      <w:pPr>
        <w:tabs>
          <w:tab w:val="left" w:pos="799"/>
        </w:tabs>
        <w:ind w:left="799" w:hanging="799"/>
      </w:pPr>
      <w:rPr>
        <w:rFonts w:hint="default" w:ascii="Times New Roman" w:hAnsi="Times New Roman" w:eastAsia="宋体"/>
        <w:b/>
        <w:i w:val="0"/>
        <w:sz w:val="24"/>
        <w:szCs w:val="24"/>
      </w:rPr>
    </w:lvl>
    <w:lvl w:ilvl="2" w:tentative="0">
      <w:start w:val="1"/>
      <w:numFmt w:val="decimal"/>
      <w:pStyle w:val="763"/>
      <w:isLgl/>
      <w:lvlText w:val="%1.%2.%3"/>
      <w:lvlJc w:val="left"/>
      <w:pPr>
        <w:tabs>
          <w:tab w:val="left" w:pos="799"/>
        </w:tabs>
        <w:ind w:left="799" w:hanging="799"/>
      </w:pPr>
      <w:rPr>
        <w:rFonts w:hint="eastAsia"/>
        <w:b w:val="0"/>
        <w:i w:val="0"/>
        <w:sz w:val="24"/>
        <w:szCs w:val="24"/>
      </w:rPr>
    </w:lvl>
    <w:lvl w:ilvl="3" w:tentative="0">
      <w:start w:val="1"/>
      <w:numFmt w:val="decimal"/>
      <w:isLgl/>
      <w:lvlText w:val="%1.%2.%3.%4"/>
      <w:lvlJc w:val="left"/>
      <w:pPr>
        <w:tabs>
          <w:tab w:val="left" w:pos="799"/>
        </w:tabs>
        <w:ind w:left="799" w:hanging="799"/>
      </w:pPr>
      <w:rPr>
        <w:rFonts w:hint="default" w:ascii="Times New Roman" w:hAnsi="Times New Roman" w:eastAsia="宋体"/>
        <w:sz w:val="21"/>
        <w:szCs w:val="21"/>
      </w:rPr>
    </w:lvl>
    <w:lvl w:ilvl="4" w:tentative="0">
      <w:start w:val="1"/>
      <w:numFmt w:val="decimal"/>
      <w:lvlText w:val="%1.%2.%3.%4.%5."/>
      <w:lvlJc w:val="left"/>
      <w:pPr>
        <w:tabs>
          <w:tab w:val="left" w:pos="-142"/>
        </w:tabs>
        <w:ind w:left="-142" w:hanging="992"/>
      </w:pPr>
      <w:rPr>
        <w:rFonts w:hint="eastAsia"/>
      </w:rPr>
    </w:lvl>
    <w:lvl w:ilvl="5" w:tentative="0">
      <w:start w:val="1"/>
      <w:numFmt w:val="decimal"/>
      <w:lvlText w:val="%1.%2.%3.%4.%5.%6."/>
      <w:lvlJc w:val="left"/>
      <w:pPr>
        <w:tabs>
          <w:tab w:val="left" w:pos="0"/>
        </w:tabs>
        <w:ind w:left="0" w:hanging="1134"/>
      </w:pPr>
      <w:rPr>
        <w:rFonts w:hint="eastAsia"/>
      </w:rPr>
    </w:lvl>
    <w:lvl w:ilvl="6" w:tentative="0">
      <w:start w:val="1"/>
      <w:numFmt w:val="decimal"/>
      <w:lvlText w:val="%1.%2.%3.%4.%5.%6.%7."/>
      <w:lvlJc w:val="left"/>
      <w:pPr>
        <w:tabs>
          <w:tab w:val="left" w:pos="142"/>
        </w:tabs>
        <w:ind w:left="142" w:hanging="1276"/>
      </w:pPr>
      <w:rPr>
        <w:rFonts w:hint="eastAsia"/>
      </w:rPr>
    </w:lvl>
    <w:lvl w:ilvl="7" w:tentative="0">
      <w:start w:val="1"/>
      <w:numFmt w:val="decimal"/>
      <w:lvlText w:val="%1.%2.%3.%4.%5.%6.%7.%8."/>
      <w:lvlJc w:val="left"/>
      <w:pPr>
        <w:tabs>
          <w:tab w:val="left" w:pos="284"/>
        </w:tabs>
        <w:ind w:left="284" w:hanging="1418"/>
      </w:pPr>
      <w:rPr>
        <w:rFonts w:hint="eastAsia"/>
      </w:rPr>
    </w:lvl>
    <w:lvl w:ilvl="8" w:tentative="0">
      <w:start w:val="1"/>
      <w:numFmt w:val="decimal"/>
      <w:lvlText w:val="%1.%2.%3.%4.%5.%6.%7.%8.%9."/>
      <w:lvlJc w:val="left"/>
      <w:pPr>
        <w:tabs>
          <w:tab w:val="left" w:pos="425"/>
        </w:tabs>
        <w:ind w:left="425" w:hanging="1559"/>
      </w:pPr>
      <w:rPr>
        <w:rFonts w:hint="eastAsia"/>
      </w:rPr>
    </w:lvl>
  </w:abstractNum>
  <w:abstractNum w:abstractNumId="1">
    <w:nsid w:val="162D62AD"/>
    <w:multiLevelType w:val="singleLevel"/>
    <w:tmpl w:val="162D62AD"/>
    <w:lvl w:ilvl="0" w:tentative="0">
      <w:start w:val="1"/>
      <w:numFmt w:val="decimal"/>
      <w:pStyle w:val="712"/>
      <w:lvlText w:val="（%1）"/>
      <w:lvlJc w:val="left"/>
      <w:pPr>
        <w:tabs>
          <w:tab w:val="left" w:pos="1035"/>
        </w:tabs>
        <w:ind w:left="1035" w:hanging="615"/>
      </w:pPr>
      <w:rPr>
        <w:rFonts w:hint="eastAsia"/>
      </w:rPr>
    </w:lvl>
  </w:abstractNum>
  <w:abstractNum w:abstractNumId="2">
    <w:nsid w:val="19B74261"/>
    <w:multiLevelType w:val="multilevel"/>
    <w:tmpl w:val="19B74261"/>
    <w:lvl w:ilvl="0" w:tentative="0">
      <w:start w:val="1"/>
      <w:numFmt w:val="chineseCountingThousand"/>
      <w:pStyle w:val="14"/>
      <w:lvlText w:val="第%1章"/>
      <w:lvlJc w:val="left"/>
      <w:pPr>
        <w:tabs>
          <w:tab w:val="left" w:pos="1474"/>
        </w:tabs>
        <w:ind w:left="1474" w:hanging="1474"/>
      </w:pPr>
      <w:rPr>
        <w:rFonts w:hint="eastAsia"/>
      </w:rPr>
    </w:lvl>
    <w:lvl w:ilvl="1" w:tentative="0">
      <w:start w:val="1"/>
      <w:numFmt w:val="decimal"/>
      <w:pStyle w:val="27"/>
      <w:isLgl/>
      <w:lvlText w:val="%1.%2"/>
      <w:lvlJc w:val="left"/>
      <w:pPr>
        <w:tabs>
          <w:tab w:val="left" w:pos="799"/>
        </w:tabs>
        <w:ind w:left="799" w:hanging="799"/>
      </w:pPr>
      <w:rPr>
        <w:rFonts w:hint="eastAsia"/>
      </w:rPr>
    </w:lvl>
    <w:lvl w:ilvl="2" w:tentative="0">
      <w:start w:val="1"/>
      <w:numFmt w:val="decimal"/>
      <w:isLgl/>
      <w:lvlText w:val="%1.%2.%3"/>
      <w:lvlJc w:val="left"/>
      <w:pPr>
        <w:tabs>
          <w:tab w:val="left" w:pos="800"/>
        </w:tabs>
        <w:ind w:left="800" w:hanging="800"/>
      </w:pPr>
      <w:rPr>
        <w:rFonts w:hint="default" w:ascii="Times New Roman" w:hAnsi="Times New Roman"/>
      </w:rPr>
    </w:lvl>
    <w:lvl w:ilvl="3" w:tentative="0">
      <w:start w:val="1"/>
      <w:numFmt w:val="decimal"/>
      <w:isLgl/>
      <w:lvlText w:val="%1.%2.%3.%4"/>
      <w:lvlJc w:val="left"/>
      <w:pPr>
        <w:tabs>
          <w:tab w:val="left" w:pos="799"/>
        </w:tabs>
        <w:ind w:left="799" w:hanging="799"/>
      </w:pPr>
      <w:rPr>
        <w:rFonts w:hint="default" w:ascii="Times New Roman" w:hAnsi="Times New Roman"/>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1B2B69BF"/>
    <w:multiLevelType w:val="multilevel"/>
    <w:tmpl w:val="1B2B69BF"/>
    <w:lvl w:ilvl="0" w:tentative="0">
      <w:start w:val="1"/>
      <w:numFmt w:val="bullet"/>
      <w:lvlText w:val=""/>
      <w:lvlJc w:val="left"/>
      <w:pPr>
        <w:tabs>
          <w:tab w:val="left" w:pos="980"/>
        </w:tabs>
        <w:ind w:left="980" w:hanging="420"/>
      </w:pPr>
      <w:rPr>
        <w:rFonts w:hint="default" w:ascii="Wingdings" w:hAnsi="Wingdings"/>
      </w:rPr>
    </w:lvl>
    <w:lvl w:ilvl="1" w:tentative="0">
      <w:start w:val="1"/>
      <w:numFmt w:val="bullet"/>
      <w:lvlText w:val=""/>
      <w:lvlJc w:val="left"/>
      <w:pPr>
        <w:tabs>
          <w:tab w:val="left" w:pos="1400"/>
        </w:tabs>
        <w:ind w:left="1400" w:hanging="420"/>
      </w:pPr>
      <w:rPr>
        <w:rFonts w:hint="default" w:ascii="Wingdings" w:hAnsi="Wingdings"/>
      </w:rPr>
    </w:lvl>
    <w:lvl w:ilvl="2" w:tentative="0">
      <w:start w:val="1"/>
      <w:numFmt w:val="bullet"/>
      <w:pStyle w:val="764"/>
      <w:lvlText w:val=""/>
      <w:lvlJc w:val="left"/>
      <w:pPr>
        <w:tabs>
          <w:tab w:val="left" w:pos="1820"/>
        </w:tabs>
        <w:ind w:left="1820" w:hanging="420"/>
      </w:pPr>
      <w:rPr>
        <w:rFonts w:hint="default" w:ascii="Wingdings" w:hAnsi="Wingdings"/>
      </w:rPr>
    </w:lvl>
    <w:lvl w:ilvl="3" w:tentative="0">
      <w:start w:val="1"/>
      <w:numFmt w:val="bullet"/>
      <w:lvlText w:val=""/>
      <w:lvlJc w:val="left"/>
      <w:pPr>
        <w:tabs>
          <w:tab w:val="left" w:pos="2240"/>
        </w:tabs>
        <w:ind w:left="2240" w:hanging="420"/>
      </w:pPr>
      <w:rPr>
        <w:rFonts w:hint="default" w:ascii="Wingdings" w:hAnsi="Wingdings"/>
      </w:rPr>
    </w:lvl>
    <w:lvl w:ilvl="4" w:tentative="0">
      <w:start w:val="1"/>
      <w:numFmt w:val="bullet"/>
      <w:lvlText w:val=""/>
      <w:lvlJc w:val="left"/>
      <w:pPr>
        <w:tabs>
          <w:tab w:val="left" w:pos="2660"/>
        </w:tabs>
        <w:ind w:left="2660" w:hanging="420"/>
      </w:pPr>
      <w:rPr>
        <w:rFonts w:hint="default" w:ascii="Wingdings" w:hAnsi="Wingdings"/>
      </w:rPr>
    </w:lvl>
    <w:lvl w:ilvl="5" w:tentative="0">
      <w:start w:val="1"/>
      <w:numFmt w:val="bullet"/>
      <w:lvlText w:val=""/>
      <w:lvlJc w:val="left"/>
      <w:pPr>
        <w:tabs>
          <w:tab w:val="left" w:pos="3080"/>
        </w:tabs>
        <w:ind w:left="3080" w:hanging="420"/>
      </w:pPr>
      <w:rPr>
        <w:rFonts w:hint="default" w:ascii="Wingdings" w:hAnsi="Wingdings"/>
      </w:rPr>
    </w:lvl>
    <w:lvl w:ilvl="6" w:tentative="0">
      <w:start w:val="1"/>
      <w:numFmt w:val="bullet"/>
      <w:lvlText w:val=""/>
      <w:lvlJc w:val="left"/>
      <w:pPr>
        <w:tabs>
          <w:tab w:val="left" w:pos="3500"/>
        </w:tabs>
        <w:ind w:left="3500" w:hanging="420"/>
      </w:pPr>
      <w:rPr>
        <w:rFonts w:hint="default" w:ascii="Wingdings" w:hAnsi="Wingdings"/>
      </w:rPr>
    </w:lvl>
    <w:lvl w:ilvl="7" w:tentative="0">
      <w:start w:val="1"/>
      <w:numFmt w:val="bullet"/>
      <w:lvlText w:val=""/>
      <w:lvlJc w:val="left"/>
      <w:pPr>
        <w:tabs>
          <w:tab w:val="left" w:pos="3920"/>
        </w:tabs>
        <w:ind w:left="3920" w:hanging="420"/>
      </w:pPr>
      <w:rPr>
        <w:rFonts w:hint="default" w:ascii="Wingdings" w:hAnsi="Wingdings"/>
      </w:rPr>
    </w:lvl>
    <w:lvl w:ilvl="8" w:tentative="0">
      <w:start w:val="1"/>
      <w:numFmt w:val="bullet"/>
      <w:lvlText w:val=""/>
      <w:lvlJc w:val="left"/>
      <w:pPr>
        <w:tabs>
          <w:tab w:val="left" w:pos="4340"/>
        </w:tabs>
        <w:ind w:left="4340" w:hanging="420"/>
      </w:pPr>
      <w:rPr>
        <w:rFonts w:hint="default" w:ascii="Wingdings" w:hAnsi="Wingdings"/>
      </w:rPr>
    </w:lvl>
  </w:abstractNum>
  <w:abstractNum w:abstractNumId="4">
    <w:nsid w:val="2A471876"/>
    <w:multiLevelType w:val="singleLevel"/>
    <w:tmpl w:val="2A471876"/>
    <w:lvl w:ilvl="0" w:tentative="0">
      <w:start w:val="1"/>
      <w:numFmt w:val="decimal"/>
      <w:pStyle w:val="713"/>
      <w:lvlText w:val="%1)"/>
      <w:lvlJc w:val="left"/>
      <w:pPr>
        <w:tabs>
          <w:tab w:val="left" w:pos="855"/>
        </w:tabs>
        <w:ind w:left="855" w:hanging="285"/>
      </w:pPr>
      <w:rPr>
        <w:rFonts w:hint="default"/>
      </w:rPr>
    </w:lvl>
  </w:abstractNum>
  <w:abstractNum w:abstractNumId="5">
    <w:nsid w:val="39412253"/>
    <w:multiLevelType w:val="multilevel"/>
    <w:tmpl w:val="39412253"/>
    <w:lvl w:ilvl="0" w:tentative="0">
      <w:start w:val="1"/>
      <w:numFmt w:val="decimal"/>
      <w:pStyle w:val="714"/>
      <w:lvlText w:val="（%1）"/>
      <w:lvlJc w:val="left"/>
      <w:pPr>
        <w:tabs>
          <w:tab w:val="left" w:pos="1620"/>
        </w:tabs>
        <w:ind w:left="1620" w:hanging="720"/>
      </w:pPr>
      <w:rPr>
        <w:rFonts w:hint="default"/>
      </w:rPr>
    </w:lvl>
    <w:lvl w:ilvl="1" w:tentative="0">
      <w:start w:val="1"/>
      <w:numFmt w:val="lowerLetter"/>
      <w:lvlText w:val="%2)"/>
      <w:lvlJc w:val="left"/>
      <w:pPr>
        <w:tabs>
          <w:tab w:val="left" w:pos="1770"/>
        </w:tabs>
        <w:ind w:left="1770" w:hanging="420"/>
      </w:pPr>
    </w:lvl>
    <w:lvl w:ilvl="2" w:tentative="0">
      <w:start w:val="1"/>
      <w:numFmt w:val="lowerRoman"/>
      <w:lvlText w:val="%3."/>
      <w:lvlJc w:val="right"/>
      <w:pPr>
        <w:tabs>
          <w:tab w:val="left" w:pos="2190"/>
        </w:tabs>
        <w:ind w:left="2190" w:hanging="420"/>
      </w:pPr>
    </w:lvl>
    <w:lvl w:ilvl="3" w:tentative="0">
      <w:start w:val="1"/>
      <w:numFmt w:val="decimal"/>
      <w:lvlText w:val="%4."/>
      <w:lvlJc w:val="left"/>
      <w:pPr>
        <w:tabs>
          <w:tab w:val="left" w:pos="2610"/>
        </w:tabs>
        <w:ind w:left="2610" w:hanging="420"/>
      </w:pPr>
    </w:lvl>
    <w:lvl w:ilvl="4" w:tentative="0">
      <w:start w:val="1"/>
      <w:numFmt w:val="lowerLetter"/>
      <w:lvlText w:val="%5)"/>
      <w:lvlJc w:val="left"/>
      <w:pPr>
        <w:tabs>
          <w:tab w:val="left" w:pos="3030"/>
        </w:tabs>
        <w:ind w:left="3030" w:hanging="420"/>
      </w:pPr>
    </w:lvl>
    <w:lvl w:ilvl="5" w:tentative="0">
      <w:start w:val="1"/>
      <w:numFmt w:val="lowerRoman"/>
      <w:lvlText w:val="%6."/>
      <w:lvlJc w:val="right"/>
      <w:pPr>
        <w:tabs>
          <w:tab w:val="left" w:pos="3450"/>
        </w:tabs>
        <w:ind w:left="3450" w:hanging="420"/>
      </w:pPr>
    </w:lvl>
    <w:lvl w:ilvl="6" w:tentative="0">
      <w:start w:val="1"/>
      <w:numFmt w:val="decimal"/>
      <w:lvlText w:val="%7."/>
      <w:lvlJc w:val="left"/>
      <w:pPr>
        <w:tabs>
          <w:tab w:val="left" w:pos="3870"/>
        </w:tabs>
        <w:ind w:left="3870" w:hanging="420"/>
      </w:pPr>
    </w:lvl>
    <w:lvl w:ilvl="7" w:tentative="0">
      <w:start w:val="1"/>
      <w:numFmt w:val="lowerLetter"/>
      <w:lvlText w:val="%8)"/>
      <w:lvlJc w:val="left"/>
      <w:pPr>
        <w:tabs>
          <w:tab w:val="left" w:pos="4290"/>
        </w:tabs>
        <w:ind w:left="4290" w:hanging="420"/>
      </w:pPr>
    </w:lvl>
    <w:lvl w:ilvl="8" w:tentative="0">
      <w:start w:val="1"/>
      <w:numFmt w:val="lowerRoman"/>
      <w:lvlText w:val="%9."/>
      <w:lvlJc w:val="right"/>
      <w:pPr>
        <w:tabs>
          <w:tab w:val="left" w:pos="4710"/>
        </w:tabs>
        <w:ind w:left="4710" w:hanging="420"/>
      </w:pPr>
    </w:lvl>
  </w:abstractNum>
  <w:abstractNum w:abstractNumId="6">
    <w:nsid w:val="3EF21490"/>
    <w:multiLevelType w:val="multilevel"/>
    <w:tmpl w:val="3EF21490"/>
    <w:lvl w:ilvl="0" w:tentative="0">
      <w:start w:val="1"/>
      <w:numFmt w:val="bullet"/>
      <w:pStyle w:val="725"/>
      <w:lvlText w:val=""/>
      <w:lvlJc w:val="left"/>
      <w:pPr>
        <w:tabs>
          <w:tab w:val="left" w:pos="980"/>
        </w:tabs>
        <w:ind w:left="980" w:hanging="420"/>
      </w:pPr>
      <w:rPr>
        <w:rFonts w:hint="default" w:ascii="Wingdings" w:hAnsi="Wingdings"/>
      </w:rPr>
    </w:lvl>
    <w:lvl w:ilvl="1" w:tentative="0">
      <w:start w:val="1"/>
      <w:numFmt w:val="bullet"/>
      <w:lvlText w:val=""/>
      <w:lvlJc w:val="left"/>
      <w:pPr>
        <w:tabs>
          <w:tab w:val="left" w:pos="1400"/>
        </w:tabs>
        <w:ind w:left="1400" w:hanging="420"/>
      </w:pPr>
      <w:rPr>
        <w:rFonts w:hint="default" w:ascii="Wingdings" w:hAnsi="Wingdings"/>
      </w:rPr>
    </w:lvl>
    <w:lvl w:ilvl="2" w:tentative="0">
      <w:start w:val="1"/>
      <w:numFmt w:val="bullet"/>
      <w:lvlText w:val=""/>
      <w:lvlJc w:val="left"/>
      <w:pPr>
        <w:tabs>
          <w:tab w:val="left" w:pos="1820"/>
        </w:tabs>
        <w:ind w:left="1820" w:hanging="420"/>
      </w:pPr>
      <w:rPr>
        <w:rFonts w:hint="default" w:ascii="Wingdings" w:hAnsi="Wingdings"/>
      </w:rPr>
    </w:lvl>
    <w:lvl w:ilvl="3" w:tentative="0">
      <w:start w:val="1"/>
      <w:numFmt w:val="bullet"/>
      <w:lvlText w:val=""/>
      <w:lvlJc w:val="left"/>
      <w:pPr>
        <w:tabs>
          <w:tab w:val="left" w:pos="2240"/>
        </w:tabs>
        <w:ind w:left="2240" w:hanging="420"/>
      </w:pPr>
      <w:rPr>
        <w:rFonts w:hint="default" w:ascii="Wingdings" w:hAnsi="Wingdings"/>
      </w:rPr>
    </w:lvl>
    <w:lvl w:ilvl="4" w:tentative="0">
      <w:start w:val="1"/>
      <w:numFmt w:val="bullet"/>
      <w:lvlText w:val=""/>
      <w:lvlJc w:val="left"/>
      <w:pPr>
        <w:tabs>
          <w:tab w:val="left" w:pos="2660"/>
        </w:tabs>
        <w:ind w:left="2660" w:hanging="420"/>
      </w:pPr>
      <w:rPr>
        <w:rFonts w:hint="default" w:ascii="Wingdings" w:hAnsi="Wingdings"/>
      </w:rPr>
    </w:lvl>
    <w:lvl w:ilvl="5" w:tentative="0">
      <w:start w:val="1"/>
      <w:numFmt w:val="bullet"/>
      <w:lvlText w:val=""/>
      <w:lvlJc w:val="left"/>
      <w:pPr>
        <w:tabs>
          <w:tab w:val="left" w:pos="3080"/>
        </w:tabs>
        <w:ind w:left="3080" w:hanging="420"/>
      </w:pPr>
      <w:rPr>
        <w:rFonts w:hint="default" w:ascii="Wingdings" w:hAnsi="Wingdings"/>
      </w:rPr>
    </w:lvl>
    <w:lvl w:ilvl="6" w:tentative="0">
      <w:start w:val="1"/>
      <w:numFmt w:val="bullet"/>
      <w:lvlText w:val=""/>
      <w:lvlJc w:val="left"/>
      <w:pPr>
        <w:tabs>
          <w:tab w:val="left" w:pos="3500"/>
        </w:tabs>
        <w:ind w:left="3500" w:hanging="420"/>
      </w:pPr>
      <w:rPr>
        <w:rFonts w:hint="default" w:ascii="Wingdings" w:hAnsi="Wingdings"/>
      </w:rPr>
    </w:lvl>
    <w:lvl w:ilvl="7" w:tentative="0">
      <w:start w:val="1"/>
      <w:numFmt w:val="bullet"/>
      <w:lvlText w:val=""/>
      <w:lvlJc w:val="left"/>
      <w:pPr>
        <w:tabs>
          <w:tab w:val="left" w:pos="3920"/>
        </w:tabs>
        <w:ind w:left="3920" w:hanging="420"/>
      </w:pPr>
      <w:rPr>
        <w:rFonts w:hint="default" w:ascii="Wingdings" w:hAnsi="Wingdings"/>
      </w:rPr>
    </w:lvl>
    <w:lvl w:ilvl="8" w:tentative="0">
      <w:start w:val="1"/>
      <w:numFmt w:val="bullet"/>
      <w:lvlText w:val=""/>
      <w:lvlJc w:val="left"/>
      <w:pPr>
        <w:tabs>
          <w:tab w:val="left" w:pos="4340"/>
        </w:tabs>
        <w:ind w:left="4340" w:hanging="420"/>
      </w:pPr>
      <w:rPr>
        <w:rFonts w:hint="default" w:ascii="Wingdings" w:hAnsi="Wingdings"/>
      </w:rPr>
    </w:lvl>
  </w:abstractNum>
  <w:abstractNum w:abstractNumId="7">
    <w:nsid w:val="4FCC0A04"/>
    <w:multiLevelType w:val="singleLevel"/>
    <w:tmpl w:val="4FCC0A04"/>
    <w:lvl w:ilvl="0" w:tentative="0">
      <w:start w:val="1"/>
      <w:numFmt w:val="bullet"/>
      <w:pStyle w:val="248"/>
      <w:lvlText w:val=""/>
      <w:lvlJc w:val="left"/>
      <w:pPr>
        <w:tabs>
          <w:tab w:val="left" w:pos="1211"/>
        </w:tabs>
        <w:ind w:left="1134" w:hanging="283"/>
      </w:pPr>
      <w:rPr>
        <w:rFonts w:hint="default" w:ascii="Symbol" w:hAnsi="Symbol"/>
      </w:rPr>
    </w:lvl>
  </w:abstractNum>
  <w:abstractNum w:abstractNumId="8">
    <w:nsid w:val="6ABE3BD6"/>
    <w:multiLevelType w:val="multilevel"/>
    <w:tmpl w:val="6ABE3BD6"/>
    <w:lvl w:ilvl="0" w:tentative="0">
      <w:start w:val="1"/>
      <w:numFmt w:val="bullet"/>
      <w:pStyle w:val="711"/>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7"/>
  </w:num>
  <w:num w:numId="3">
    <w:abstractNumId w:val="8"/>
  </w:num>
  <w:num w:numId="4">
    <w:abstractNumId w:val="1"/>
  </w:num>
  <w:num w:numId="5">
    <w:abstractNumId w:val="4"/>
  </w:num>
  <w:num w:numId="6">
    <w:abstractNumId w:val="5"/>
  </w:num>
  <w:num w:numId="7">
    <w:abstractNumId w:val="6"/>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WM3N2VmODg4MjZhZDk2YzkzY2Q2MDhmMGI5YzBiYzUifQ=="/>
  </w:docVars>
  <w:rsids>
    <w:rsidRoot w:val="004B13AF"/>
    <w:rsid w:val="00000013"/>
    <w:rsid w:val="000007A2"/>
    <w:rsid w:val="00001CC9"/>
    <w:rsid w:val="0000212B"/>
    <w:rsid w:val="0000430E"/>
    <w:rsid w:val="00004401"/>
    <w:rsid w:val="00004617"/>
    <w:rsid w:val="00007AA4"/>
    <w:rsid w:val="000101CC"/>
    <w:rsid w:val="00010434"/>
    <w:rsid w:val="00010614"/>
    <w:rsid w:val="00010769"/>
    <w:rsid w:val="000119F0"/>
    <w:rsid w:val="00011F58"/>
    <w:rsid w:val="00012BCF"/>
    <w:rsid w:val="00013E3F"/>
    <w:rsid w:val="00013E84"/>
    <w:rsid w:val="0001452F"/>
    <w:rsid w:val="00015122"/>
    <w:rsid w:val="00015796"/>
    <w:rsid w:val="000168D4"/>
    <w:rsid w:val="00016F74"/>
    <w:rsid w:val="00017368"/>
    <w:rsid w:val="00017A0C"/>
    <w:rsid w:val="00020A7E"/>
    <w:rsid w:val="000229AC"/>
    <w:rsid w:val="00023A91"/>
    <w:rsid w:val="00024E4C"/>
    <w:rsid w:val="00027452"/>
    <w:rsid w:val="00027909"/>
    <w:rsid w:val="00027B0E"/>
    <w:rsid w:val="000306F5"/>
    <w:rsid w:val="0003079D"/>
    <w:rsid w:val="0003148F"/>
    <w:rsid w:val="0003257A"/>
    <w:rsid w:val="00032C85"/>
    <w:rsid w:val="00033453"/>
    <w:rsid w:val="00034D12"/>
    <w:rsid w:val="000362D7"/>
    <w:rsid w:val="000374C7"/>
    <w:rsid w:val="000401B3"/>
    <w:rsid w:val="0004192A"/>
    <w:rsid w:val="00041AF1"/>
    <w:rsid w:val="0004240A"/>
    <w:rsid w:val="000427C0"/>
    <w:rsid w:val="00043350"/>
    <w:rsid w:val="0004347F"/>
    <w:rsid w:val="000458BF"/>
    <w:rsid w:val="00045C61"/>
    <w:rsid w:val="00046091"/>
    <w:rsid w:val="00047D3E"/>
    <w:rsid w:val="0005012F"/>
    <w:rsid w:val="000524C6"/>
    <w:rsid w:val="00053BCB"/>
    <w:rsid w:val="00053DB3"/>
    <w:rsid w:val="0005457B"/>
    <w:rsid w:val="00054D28"/>
    <w:rsid w:val="00054F46"/>
    <w:rsid w:val="000558AE"/>
    <w:rsid w:val="00055A48"/>
    <w:rsid w:val="00056151"/>
    <w:rsid w:val="00056DCD"/>
    <w:rsid w:val="00060219"/>
    <w:rsid w:val="000611F5"/>
    <w:rsid w:val="00061601"/>
    <w:rsid w:val="00061A79"/>
    <w:rsid w:val="00062365"/>
    <w:rsid w:val="00062A4F"/>
    <w:rsid w:val="0006318B"/>
    <w:rsid w:val="00064366"/>
    <w:rsid w:val="000652C3"/>
    <w:rsid w:val="000662AF"/>
    <w:rsid w:val="0006635A"/>
    <w:rsid w:val="00066A15"/>
    <w:rsid w:val="0007079C"/>
    <w:rsid w:val="00071043"/>
    <w:rsid w:val="000715F1"/>
    <w:rsid w:val="00071ED8"/>
    <w:rsid w:val="00072027"/>
    <w:rsid w:val="0007251C"/>
    <w:rsid w:val="00072A05"/>
    <w:rsid w:val="0007342F"/>
    <w:rsid w:val="00073A78"/>
    <w:rsid w:val="000740BE"/>
    <w:rsid w:val="0007410C"/>
    <w:rsid w:val="00074289"/>
    <w:rsid w:val="0007432D"/>
    <w:rsid w:val="00075720"/>
    <w:rsid w:val="0007632B"/>
    <w:rsid w:val="000767CE"/>
    <w:rsid w:val="00077601"/>
    <w:rsid w:val="00077A88"/>
    <w:rsid w:val="00080A89"/>
    <w:rsid w:val="0008107A"/>
    <w:rsid w:val="000810F9"/>
    <w:rsid w:val="00081F2F"/>
    <w:rsid w:val="000829CE"/>
    <w:rsid w:val="000843F9"/>
    <w:rsid w:val="000843FA"/>
    <w:rsid w:val="000845EB"/>
    <w:rsid w:val="0008635A"/>
    <w:rsid w:val="00086552"/>
    <w:rsid w:val="00087480"/>
    <w:rsid w:val="000878DD"/>
    <w:rsid w:val="00091B44"/>
    <w:rsid w:val="000927FB"/>
    <w:rsid w:val="000928EB"/>
    <w:rsid w:val="000929BF"/>
    <w:rsid w:val="00093601"/>
    <w:rsid w:val="00095EE6"/>
    <w:rsid w:val="000962C0"/>
    <w:rsid w:val="000A0815"/>
    <w:rsid w:val="000A10BE"/>
    <w:rsid w:val="000A2E4C"/>
    <w:rsid w:val="000A2EF2"/>
    <w:rsid w:val="000A3BF7"/>
    <w:rsid w:val="000A4662"/>
    <w:rsid w:val="000A694B"/>
    <w:rsid w:val="000B027A"/>
    <w:rsid w:val="000B0729"/>
    <w:rsid w:val="000B176D"/>
    <w:rsid w:val="000B18D7"/>
    <w:rsid w:val="000B1DD6"/>
    <w:rsid w:val="000B22D8"/>
    <w:rsid w:val="000B2804"/>
    <w:rsid w:val="000B4496"/>
    <w:rsid w:val="000B48B4"/>
    <w:rsid w:val="000B4ED0"/>
    <w:rsid w:val="000B536D"/>
    <w:rsid w:val="000B67EE"/>
    <w:rsid w:val="000B6DC7"/>
    <w:rsid w:val="000B788E"/>
    <w:rsid w:val="000B78E3"/>
    <w:rsid w:val="000C0BEB"/>
    <w:rsid w:val="000C0E5E"/>
    <w:rsid w:val="000C2349"/>
    <w:rsid w:val="000C2D46"/>
    <w:rsid w:val="000C2ECD"/>
    <w:rsid w:val="000C3399"/>
    <w:rsid w:val="000C3700"/>
    <w:rsid w:val="000C4013"/>
    <w:rsid w:val="000C45FA"/>
    <w:rsid w:val="000C5BEB"/>
    <w:rsid w:val="000C76BF"/>
    <w:rsid w:val="000D15B2"/>
    <w:rsid w:val="000D2164"/>
    <w:rsid w:val="000D2292"/>
    <w:rsid w:val="000D284B"/>
    <w:rsid w:val="000D293F"/>
    <w:rsid w:val="000D4295"/>
    <w:rsid w:val="000D462F"/>
    <w:rsid w:val="000D4F50"/>
    <w:rsid w:val="000D6815"/>
    <w:rsid w:val="000D6CC2"/>
    <w:rsid w:val="000D778E"/>
    <w:rsid w:val="000E079B"/>
    <w:rsid w:val="000E4134"/>
    <w:rsid w:val="000E4773"/>
    <w:rsid w:val="000E6235"/>
    <w:rsid w:val="000E7A0D"/>
    <w:rsid w:val="000F010C"/>
    <w:rsid w:val="000F14D0"/>
    <w:rsid w:val="000F3FBC"/>
    <w:rsid w:val="000F45DB"/>
    <w:rsid w:val="000F4BB5"/>
    <w:rsid w:val="000F4D0B"/>
    <w:rsid w:val="000F4D91"/>
    <w:rsid w:val="000F562A"/>
    <w:rsid w:val="000F6043"/>
    <w:rsid w:val="000F6358"/>
    <w:rsid w:val="00100222"/>
    <w:rsid w:val="00100F3F"/>
    <w:rsid w:val="00102D14"/>
    <w:rsid w:val="00103B31"/>
    <w:rsid w:val="00103B5F"/>
    <w:rsid w:val="00103D8E"/>
    <w:rsid w:val="0010400B"/>
    <w:rsid w:val="00105649"/>
    <w:rsid w:val="00105A60"/>
    <w:rsid w:val="00105D0F"/>
    <w:rsid w:val="00110A74"/>
    <w:rsid w:val="00112E07"/>
    <w:rsid w:val="00115C4A"/>
    <w:rsid w:val="001167FC"/>
    <w:rsid w:val="00120039"/>
    <w:rsid w:val="00120461"/>
    <w:rsid w:val="001216EA"/>
    <w:rsid w:val="00121762"/>
    <w:rsid w:val="00121ABA"/>
    <w:rsid w:val="001222C2"/>
    <w:rsid w:val="00123694"/>
    <w:rsid w:val="001246C8"/>
    <w:rsid w:val="00124823"/>
    <w:rsid w:val="001266DE"/>
    <w:rsid w:val="001266E5"/>
    <w:rsid w:val="00126BB4"/>
    <w:rsid w:val="00132104"/>
    <w:rsid w:val="0013476C"/>
    <w:rsid w:val="0013498A"/>
    <w:rsid w:val="00135763"/>
    <w:rsid w:val="0013753A"/>
    <w:rsid w:val="00137B5D"/>
    <w:rsid w:val="00141344"/>
    <w:rsid w:val="00141386"/>
    <w:rsid w:val="00143059"/>
    <w:rsid w:val="00143450"/>
    <w:rsid w:val="00143BBE"/>
    <w:rsid w:val="00144410"/>
    <w:rsid w:val="00144D2D"/>
    <w:rsid w:val="00144F8D"/>
    <w:rsid w:val="00145545"/>
    <w:rsid w:val="001459C5"/>
    <w:rsid w:val="00146296"/>
    <w:rsid w:val="00146319"/>
    <w:rsid w:val="001509CC"/>
    <w:rsid w:val="00150F7F"/>
    <w:rsid w:val="00151AF0"/>
    <w:rsid w:val="00154484"/>
    <w:rsid w:val="00156210"/>
    <w:rsid w:val="00156A83"/>
    <w:rsid w:val="00156B8C"/>
    <w:rsid w:val="00156D3F"/>
    <w:rsid w:val="00157196"/>
    <w:rsid w:val="00157248"/>
    <w:rsid w:val="001575B2"/>
    <w:rsid w:val="001575C3"/>
    <w:rsid w:val="00160170"/>
    <w:rsid w:val="00160C69"/>
    <w:rsid w:val="00162217"/>
    <w:rsid w:val="001646E5"/>
    <w:rsid w:val="00165D76"/>
    <w:rsid w:val="001677F9"/>
    <w:rsid w:val="00167A20"/>
    <w:rsid w:val="00167BD7"/>
    <w:rsid w:val="001708FD"/>
    <w:rsid w:val="00171016"/>
    <w:rsid w:val="001716C9"/>
    <w:rsid w:val="0017220A"/>
    <w:rsid w:val="00172A36"/>
    <w:rsid w:val="00173B17"/>
    <w:rsid w:val="00173CF7"/>
    <w:rsid w:val="00175016"/>
    <w:rsid w:val="00175E3F"/>
    <w:rsid w:val="0017666D"/>
    <w:rsid w:val="00177DF7"/>
    <w:rsid w:val="0018045F"/>
    <w:rsid w:val="00180866"/>
    <w:rsid w:val="001834FE"/>
    <w:rsid w:val="00183790"/>
    <w:rsid w:val="00186BB5"/>
    <w:rsid w:val="00190E32"/>
    <w:rsid w:val="001916C6"/>
    <w:rsid w:val="00191CEA"/>
    <w:rsid w:val="00192579"/>
    <w:rsid w:val="00192D26"/>
    <w:rsid w:val="00193E32"/>
    <w:rsid w:val="001943FA"/>
    <w:rsid w:val="00197242"/>
    <w:rsid w:val="00197397"/>
    <w:rsid w:val="001A066C"/>
    <w:rsid w:val="001A122C"/>
    <w:rsid w:val="001A2103"/>
    <w:rsid w:val="001A2930"/>
    <w:rsid w:val="001A2DE2"/>
    <w:rsid w:val="001A316B"/>
    <w:rsid w:val="001A35C9"/>
    <w:rsid w:val="001A396E"/>
    <w:rsid w:val="001A4173"/>
    <w:rsid w:val="001A4DEA"/>
    <w:rsid w:val="001A5F62"/>
    <w:rsid w:val="001A63F8"/>
    <w:rsid w:val="001A6432"/>
    <w:rsid w:val="001A7379"/>
    <w:rsid w:val="001A7D23"/>
    <w:rsid w:val="001B0C71"/>
    <w:rsid w:val="001B1671"/>
    <w:rsid w:val="001B1ABC"/>
    <w:rsid w:val="001B319B"/>
    <w:rsid w:val="001B545F"/>
    <w:rsid w:val="001B5EDF"/>
    <w:rsid w:val="001B773F"/>
    <w:rsid w:val="001B7770"/>
    <w:rsid w:val="001C0C12"/>
    <w:rsid w:val="001C292D"/>
    <w:rsid w:val="001C48C5"/>
    <w:rsid w:val="001C6084"/>
    <w:rsid w:val="001C6B67"/>
    <w:rsid w:val="001C7584"/>
    <w:rsid w:val="001D0CF3"/>
    <w:rsid w:val="001D2787"/>
    <w:rsid w:val="001D2973"/>
    <w:rsid w:val="001D2C18"/>
    <w:rsid w:val="001D38FF"/>
    <w:rsid w:val="001D55B9"/>
    <w:rsid w:val="001D621A"/>
    <w:rsid w:val="001E0F30"/>
    <w:rsid w:val="001E0F68"/>
    <w:rsid w:val="001E1C0B"/>
    <w:rsid w:val="001E1E6C"/>
    <w:rsid w:val="001E2BD4"/>
    <w:rsid w:val="001E328E"/>
    <w:rsid w:val="001E4943"/>
    <w:rsid w:val="001E53AF"/>
    <w:rsid w:val="001E5FDF"/>
    <w:rsid w:val="001E6461"/>
    <w:rsid w:val="001E65F4"/>
    <w:rsid w:val="001F14B4"/>
    <w:rsid w:val="001F2383"/>
    <w:rsid w:val="001F2D7C"/>
    <w:rsid w:val="001F3048"/>
    <w:rsid w:val="001F4499"/>
    <w:rsid w:val="001F6A5B"/>
    <w:rsid w:val="001F7626"/>
    <w:rsid w:val="00200F86"/>
    <w:rsid w:val="00201082"/>
    <w:rsid w:val="00201685"/>
    <w:rsid w:val="00202A6A"/>
    <w:rsid w:val="002037AD"/>
    <w:rsid w:val="00204E62"/>
    <w:rsid w:val="00205B99"/>
    <w:rsid w:val="002062E5"/>
    <w:rsid w:val="002063B8"/>
    <w:rsid w:val="00206673"/>
    <w:rsid w:val="00207851"/>
    <w:rsid w:val="00210EA9"/>
    <w:rsid w:val="002110E6"/>
    <w:rsid w:val="00211726"/>
    <w:rsid w:val="00211840"/>
    <w:rsid w:val="00211F9D"/>
    <w:rsid w:val="002128FC"/>
    <w:rsid w:val="00213299"/>
    <w:rsid w:val="002135D2"/>
    <w:rsid w:val="00214075"/>
    <w:rsid w:val="002147C3"/>
    <w:rsid w:val="002154BE"/>
    <w:rsid w:val="0021624D"/>
    <w:rsid w:val="0021646B"/>
    <w:rsid w:val="00216E1F"/>
    <w:rsid w:val="00221060"/>
    <w:rsid w:val="0022120E"/>
    <w:rsid w:val="002216A7"/>
    <w:rsid w:val="00221CC0"/>
    <w:rsid w:val="002221F4"/>
    <w:rsid w:val="00222A2A"/>
    <w:rsid w:val="00224E8C"/>
    <w:rsid w:val="00225726"/>
    <w:rsid w:val="00227FAB"/>
    <w:rsid w:val="002300D1"/>
    <w:rsid w:val="0023010E"/>
    <w:rsid w:val="00230721"/>
    <w:rsid w:val="00230CCC"/>
    <w:rsid w:val="00231198"/>
    <w:rsid w:val="002317E5"/>
    <w:rsid w:val="002324BB"/>
    <w:rsid w:val="00232B98"/>
    <w:rsid w:val="00233384"/>
    <w:rsid w:val="00235BA8"/>
    <w:rsid w:val="00240A66"/>
    <w:rsid w:val="00240DD1"/>
    <w:rsid w:val="00240FB0"/>
    <w:rsid w:val="00241345"/>
    <w:rsid w:val="00241A05"/>
    <w:rsid w:val="00242CD1"/>
    <w:rsid w:val="00244144"/>
    <w:rsid w:val="00245420"/>
    <w:rsid w:val="002463A9"/>
    <w:rsid w:val="002463EF"/>
    <w:rsid w:val="002468A6"/>
    <w:rsid w:val="00246A5F"/>
    <w:rsid w:val="0024778C"/>
    <w:rsid w:val="002479B6"/>
    <w:rsid w:val="00247AB3"/>
    <w:rsid w:val="00251245"/>
    <w:rsid w:val="00251268"/>
    <w:rsid w:val="00251B0E"/>
    <w:rsid w:val="002521C2"/>
    <w:rsid w:val="00252811"/>
    <w:rsid w:val="00252C81"/>
    <w:rsid w:val="002539E0"/>
    <w:rsid w:val="00254D6E"/>
    <w:rsid w:val="002565BA"/>
    <w:rsid w:val="002600CC"/>
    <w:rsid w:val="00260B93"/>
    <w:rsid w:val="00260F40"/>
    <w:rsid w:val="002615B1"/>
    <w:rsid w:val="00261894"/>
    <w:rsid w:val="00261DB7"/>
    <w:rsid w:val="00261E68"/>
    <w:rsid w:val="002625B3"/>
    <w:rsid w:val="00263630"/>
    <w:rsid w:val="00263ACA"/>
    <w:rsid w:val="00264059"/>
    <w:rsid w:val="00264F06"/>
    <w:rsid w:val="00264F43"/>
    <w:rsid w:val="00265DAB"/>
    <w:rsid w:val="002671C9"/>
    <w:rsid w:val="00270742"/>
    <w:rsid w:val="00270DF5"/>
    <w:rsid w:val="0027170B"/>
    <w:rsid w:val="002718AE"/>
    <w:rsid w:val="002727A6"/>
    <w:rsid w:val="002732BC"/>
    <w:rsid w:val="0027398A"/>
    <w:rsid w:val="002740A0"/>
    <w:rsid w:val="00274AA8"/>
    <w:rsid w:val="00275FB9"/>
    <w:rsid w:val="002800C4"/>
    <w:rsid w:val="00281055"/>
    <w:rsid w:val="002813D2"/>
    <w:rsid w:val="002818FD"/>
    <w:rsid w:val="00282093"/>
    <w:rsid w:val="00282FCC"/>
    <w:rsid w:val="00284B1D"/>
    <w:rsid w:val="002855B8"/>
    <w:rsid w:val="00285610"/>
    <w:rsid w:val="002856BF"/>
    <w:rsid w:val="00287E9F"/>
    <w:rsid w:val="002905FA"/>
    <w:rsid w:val="0029175F"/>
    <w:rsid w:val="00291CD2"/>
    <w:rsid w:val="00293EE9"/>
    <w:rsid w:val="002944E3"/>
    <w:rsid w:val="002948A7"/>
    <w:rsid w:val="00295926"/>
    <w:rsid w:val="0029628C"/>
    <w:rsid w:val="0029694C"/>
    <w:rsid w:val="00297228"/>
    <w:rsid w:val="002A0F70"/>
    <w:rsid w:val="002A1BC2"/>
    <w:rsid w:val="002A1CCE"/>
    <w:rsid w:val="002A2982"/>
    <w:rsid w:val="002A455E"/>
    <w:rsid w:val="002A51A5"/>
    <w:rsid w:val="002A570D"/>
    <w:rsid w:val="002A5DF8"/>
    <w:rsid w:val="002B1414"/>
    <w:rsid w:val="002B14B6"/>
    <w:rsid w:val="002B173A"/>
    <w:rsid w:val="002B1CD5"/>
    <w:rsid w:val="002B3106"/>
    <w:rsid w:val="002B317C"/>
    <w:rsid w:val="002B3F7F"/>
    <w:rsid w:val="002B47EB"/>
    <w:rsid w:val="002B494F"/>
    <w:rsid w:val="002B5127"/>
    <w:rsid w:val="002B5C47"/>
    <w:rsid w:val="002B600A"/>
    <w:rsid w:val="002B684A"/>
    <w:rsid w:val="002B6CED"/>
    <w:rsid w:val="002B7200"/>
    <w:rsid w:val="002B79D4"/>
    <w:rsid w:val="002C0374"/>
    <w:rsid w:val="002C05C4"/>
    <w:rsid w:val="002C153E"/>
    <w:rsid w:val="002C3331"/>
    <w:rsid w:val="002C358A"/>
    <w:rsid w:val="002C434C"/>
    <w:rsid w:val="002C4D1E"/>
    <w:rsid w:val="002C6A6B"/>
    <w:rsid w:val="002C6C2C"/>
    <w:rsid w:val="002C787C"/>
    <w:rsid w:val="002C7F40"/>
    <w:rsid w:val="002D02ED"/>
    <w:rsid w:val="002D2E9D"/>
    <w:rsid w:val="002D31EE"/>
    <w:rsid w:val="002D53AF"/>
    <w:rsid w:val="002D6DB7"/>
    <w:rsid w:val="002D7313"/>
    <w:rsid w:val="002D7BBB"/>
    <w:rsid w:val="002E054A"/>
    <w:rsid w:val="002E08C3"/>
    <w:rsid w:val="002E1A32"/>
    <w:rsid w:val="002E3F44"/>
    <w:rsid w:val="002E3FB9"/>
    <w:rsid w:val="002E4457"/>
    <w:rsid w:val="002E4A7E"/>
    <w:rsid w:val="002E535F"/>
    <w:rsid w:val="002E579E"/>
    <w:rsid w:val="002F0623"/>
    <w:rsid w:val="002F0AF5"/>
    <w:rsid w:val="002F0F53"/>
    <w:rsid w:val="002F272A"/>
    <w:rsid w:val="002F2BAB"/>
    <w:rsid w:val="002F3253"/>
    <w:rsid w:val="002F353F"/>
    <w:rsid w:val="002F3E82"/>
    <w:rsid w:val="002F408E"/>
    <w:rsid w:val="002F4D5D"/>
    <w:rsid w:val="002F5372"/>
    <w:rsid w:val="002F7164"/>
    <w:rsid w:val="002F72BC"/>
    <w:rsid w:val="002F7C18"/>
    <w:rsid w:val="00300828"/>
    <w:rsid w:val="0030164E"/>
    <w:rsid w:val="0030406A"/>
    <w:rsid w:val="00304109"/>
    <w:rsid w:val="0030540E"/>
    <w:rsid w:val="00305512"/>
    <w:rsid w:val="00306061"/>
    <w:rsid w:val="003072CF"/>
    <w:rsid w:val="00311099"/>
    <w:rsid w:val="003110A1"/>
    <w:rsid w:val="00312A76"/>
    <w:rsid w:val="00312A7F"/>
    <w:rsid w:val="003133D6"/>
    <w:rsid w:val="00314918"/>
    <w:rsid w:val="00314A9C"/>
    <w:rsid w:val="00314D40"/>
    <w:rsid w:val="0031512F"/>
    <w:rsid w:val="0031584C"/>
    <w:rsid w:val="00315A44"/>
    <w:rsid w:val="00315B1A"/>
    <w:rsid w:val="0031683F"/>
    <w:rsid w:val="0031710A"/>
    <w:rsid w:val="00320362"/>
    <w:rsid w:val="00321A44"/>
    <w:rsid w:val="00322C2E"/>
    <w:rsid w:val="00322D7E"/>
    <w:rsid w:val="003246AA"/>
    <w:rsid w:val="00324C5E"/>
    <w:rsid w:val="00325AC3"/>
    <w:rsid w:val="0032605B"/>
    <w:rsid w:val="00326F65"/>
    <w:rsid w:val="00327A09"/>
    <w:rsid w:val="00330E99"/>
    <w:rsid w:val="00331039"/>
    <w:rsid w:val="003317EE"/>
    <w:rsid w:val="00331BB5"/>
    <w:rsid w:val="003326C6"/>
    <w:rsid w:val="00332CFA"/>
    <w:rsid w:val="003342AF"/>
    <w:rsid w:val="00334FB4"/>
    <w:rsid w:val="00335148"/>
    <w:rsid w:val="0033726D"/>
    <w:rsid w:val="00337504"/>
    <w:rsid w:val="003377E6"/>
    <w:rsid w:val="00337B93"/>
    <w:rsid w:val="003407F6"/>
    <w:rsid w:val="003415EE"/>
    <w:rsid w:val="0034228D"/>
    <w:rsid w:val="00342882"/>
    <w:rsid w:val="003460BD"/>
    <w:rsid w:val="003462F8"/>
    <w:rsid w:val="003469CA"/>
    <w:rsid w:val="00346CBF"/>
    <w:rsid w:val="00347DBD"/>
    <w:rsid w:val="003507F7"/>
    <w:rsid w:val="003509C8"/>
    <w:rsid w:val="00351072"/>
    <w:rsid w:val="00351F3F"/>
    <w:rsid w:val="003525A4"/>
    <w:rsid w:val="00352680"/>
    <w:rsid w:val="00353053"/>
    <w:rsid w:val="003532AC"/>
    <w:rsid w:val="0035453B"/>
    <w:rsid w:val="0035554A"/>
    <w:rsid w:val="00356CE9"/>
    <w:rsid w:val="003577F0"/>
    <w:rsid w:val="003614AA"/>
    <w:rsid w:val="00362BB1"/>
    <w:rsid w:val="00363EDA"/>
    <w:rsid w:val="00364279"/>
    <w:rsid w:val="003645F2"/>
    <w:rsid w:val="00364E44"/>
    <w:rsid w:val="003657AB"/>
    <w:rsid w:val="003707ED"/>
    <w:rsid w:val="003714FB"/>
    <w:rsid w:val="003719E1"/>
    <w:rsid w:val="003719EC"/>
    <w:rsid w:val="0037247B"/>
    <w:rsid w:val="003732E4"/>
    <w:rsid w:val="003737DE"/>
    <w:rsid w:val="00374055"/>
    <w:rsid w:val="0037529D"/>
    <w:rsid w:val="003753E7"/>
    <w:rsid w:val="00375910"/>
    <w:rsid w:val="0037625F"/>
    <w:rsid w:val="003768D2"/>
    <w:rsid w:val="0037695C"/>
    <w:rsid w:val="003769B7"/>
    <w:rsid w:val="00377075"/>
    <w:rsid w:val="00377212"/>
    <w:rsid w:val="003772E5"/>
    <w:rsid w:val="00377EBA"/>
    <w:rsid w:val="0038016A"/>
    <w:rsid w:val="00380CFB"/>
    <w:rsid w:val="00381200"/>
    <w:rsid w:val="00381295"/>
    <w:rsid w:val="00381CC0"/>
    <w:rsid w:val="003857C1"/>
    <w:rsid w:val="00385814"/>
    <w:rsid w:val="00386155"/>
    <w:rsid w:val="003926C7"/>
    <w:rsid w:val="00393FC9"/>
    <w:rsid w:val="00394ECE"/>
    <w:rsid w:val="003959A8"/>
    <w:rsid w:val="0039718E"/>
    <w:rsid w:val="003A013E"/>
    <w:rsid w:val="003A0DDD"/>
    <w:rsid w:val="003A2B2B"/>
    <w:rsid w:val="003A3A29"/>
    <w:rsid w:val="003A3B8C"/>
    <w:rsid w:val="003A401F"/>
    <w:rsid w:val="003A46B7"/>
    <w:rsid w:val="003A6EE7"/>
    <w:rsid w:val="003A6F35"/>
    <w:rsid w:val="003A7011"/>
    <w:rsid w:val="003B0622"/>
    <w:rsid w:val="003B07AC"/>
    <w:rsid w:val="003B09CC"/>
    <w:rsid w:val="003B0C7C"/>
    <w:rsid w:val="003B188A"/>
    <w:rsid w:val="003B1B06"/>
    <w:rsid w:val="003B1F83"/>
    <w:rsid w:val="003B348C"/>
    <w:rsid w:val="003B3A27"/>
    <w:rsid w:val="003B439D"/>
    <w:rsid w:val="003B58B5"/>
    <w:rsid w:val="003B5D35"/>
    <w:rsid w:val="003B6045"/>
    <w:rsid w:val="003B64D0"/>
    <w:rsid w:val="003B671A"/>
    <w:rsid w:val="003B7D7B"/>
    <w:rsid w:val="003B7E95"/>
    <w:rsid w:val="003C14C4"/>
    <w:rsid w:val="003C1D41"/>
    <w:rsid w:val="003C3CA8"/>
    <w:rsid w:val="003C3F03"/>
    <w:rsid w:val="003C44C4"/>
    <w:rsid w:val="003C536E"/>
    <w:rsid w:val="003C5C0E"/>
    <w:rsid w:val="003D022F"/>
    <w:rsid w:val="003D077A"/>
    <w:rsid w:val="003D0791"/>
    <w:rsid w:val="003D408B"/>
    <w:rsid w:val="003D4B89"/>
    <w:rsid w:val="003D4F37"/>
    <w:rsid w:val="003D4F5B"/>
    <w:rsid w:val="003D570D"/>
    <w:rsid w:val="003D66C5"/>
    <w:rsid w:val="003D6840"/>
    <w:rsid w:val="003D7CED"/>
    <w:rsid w:val="003E06DC"/>
    <w:rsid w:val="003E0FD3"/>
    <w:rsid w:val="003E25DB"/>
    <w:rsid w:val="003E31EF"/>
    <w:rsid w:val="003E3381"/>
    <w:rsid w:val="003E3A00"/>
    <w:rsid w:val="003E40C5"/>
    <w:rsid w:val="003E57C1"/>
    <w:rsid w:val="003E6451"/>
    <w:rsid w:val="003E69EA"/>
    <w:rsid w:val="003E7691"/>
    <w:rsid w:val="003F0AF3"/>
    <w:rsid w:val="003F0B86"/>
    <w:rsid w:val="003F1825"/>
    <w:rsid w:val="003F28BB"/>
    <w:rsid w:val="003F3288"/>
    <w:rsid w:val="003F422C"/>
    <w:rsid w:val="003F490E"/>
    <w:rsid w:val="003F4C86"/>
    <w:rsid w:val="003F6B68"/>
    <w:rsid w:val="004003EE"/>
    <w:rsid w:val="00400465"/>
    <w:rsid w:val="0040141B"/>
    <w:rsid w:val="00401721"/>
    <w:rsid w:val="004020AE"/>
    <w:rsid w:val="00402AB0"/>
    <w:rsid w:val="00403C19"/>
    <w:rsid w:val="00405071"/>
    <w:rsid w:val="00405330"/>
    <w:rsid w:val="004059AF"/>
    <w:rsid w:val="00406BB7"/>
    <w:rsid w:val="00406FE9"/>
    <w:rsid w:val="004107B2"/>
    <w:rsid w:val="00410E16"/>
    <w:rsid w:val="004113C8"/>
    <w:rsid w:val="00411BB9"/>
    <w:rsid w:val="004135E8"/>
    <w:rsid w:val="0041669E"/>
    <w:rsid w:val="00416925"/>
    <w:rsid w:val="0041728B"/>
    <w:rsid w:val="004176FA"/>
    <w:rsid w:val="0041782A"/>
    <w:rsid w:val="00417A61"/>
    <w:rsid w:val="00420DB0"/>
    <w:rsid w:val="00420F4F"/>
    <w:rsid w:val="00421243"/>
    <w:rsid w:val="00421B49"/>
    <w:rsid w:val="004233D8"/>
    <w:rsid w:val="00423994"/>
    <w:rsid w:val="00423FF1"/>
    <w:rsid w:val="00425073"/>
    <w:rsid w:val="004256E0"/>
    <w:rsid w:val="00426028"/>
    <w:rsid w:val="00426E8D"/>
    <w:rsid w:val="00427036"/>
    <w:rsid w:val="004273B9"/>
    <w:rsid w:val="004274AD"/>
    <w:rsid w:val="00427746"/>
    <w:rsid w:val="00430873"/>
    <w:rsid w:val="00430C0A"/>
    <w:rsid w:val="004314F3"/>
    <w:rsid w:val="004315D8"/>
    <w:rsid w:val="004318EC"/>
    <w:rsid w:val="00431F76"/>
    <w:rsid w:val="00432036"/>
    <w:rsid w:val="004328DF"/>
    <w:rsid w:val="0043485B"/>
    <w:rsid w:val="00434C95"/>
    <w:rsid w:val="00434E9E"/>
    <w:rsid w:val="00436AA8"/>
    <w:rsid w:val="00436C62"/>
    <w:rsid w:val="00436CCB"/>
    <w:rsid w:val="0044006E"/>
    <w:rsid w:val="00440202"/>
    <w:rsid w:val="00440B92"/>
    <w:rsid w:val="00441A61"/>
    <w:rsid w:val="00442BCB"/>
    <w:rsid w:val="0044303D"/>
    <w:rsid w:val="004433C5"/>
    <w:rsid w:val="0044414F"/>
    <w:rsid w:val="004444B4"/>
    <w:rsid w:val="00444A7D"/>
    <w:rsid w:val="00445533"/>
    <w:rsid w:val="00445A0D"/>
    <w:rsid w:val="00445B59"/>
    <w:rsid w:val="004473F8"/>
    <w:rsid w:val="00450CB0"/>
    <w:rsid w:val="00450FE3"/>
    <w:rsid w:val="00452CFD"/>
    <w:rsid w:val="004538C8"/>
    <w:rsid w:val="004557E8"/>
    <w:rsid w:val="00455A8A"/>
    <w:rsid w:val="00455D79"/>
    <w:rsid w:val="00456573"/>
    <w:rsid w:val="0045731C"/>
    <w:rsid w:val="004611E8"/>
    <w:rsid w:val="00461434"/>
    <w:rsid w:val="00461FA0"/>
    <w:rsid w:val="004626CB"/>
    <w:rsid w:val="0046272E"/>
    <w:rsid w:val="00464885"/>
    <w:rsid w:val="00465DA5"/>
    <w:rsid w:val="004672CD"/>
    <w:rsid w:val="004712A2"/>
    <w:rsid w:val="00471F87"/>
    <w:rsid w:val="00472E1D"/>
    <w:rsid w:val="00474C7C"/>
    <w:rsid w:val="00475148"/>
    <w:rsid w:val="004752D3"/>
    <w:rsid w:val="00475D4C"/>
    <w:rsid w:val="00476219"/>
    <w:rsid w:val="00476848"/>
    <w:rsid w:val="0047734D"/>
    <w:rsid w:val="00477464"/>
    <w:rsid w:val="004818AA"/>
    <w:rsid w:val="00481F29"/>
    <w:rsid w:val="004833D9"/>
    <w:rsid w:val="0048385D"/>
    <w:rsid w:val="00484812"/>
    <w:rsid w:val="00486538"/>
    <w:rsid w:val="00486BA8"/>
    <w:rsid w:val="004871CF"/>
    <w:rsid w:val="004876B4"/>
    <w:rsid w:val="004879DA"/>
    <w:rsid w:val="004908E5"/>
    <w:rsid w:val="00492E6F"/>
    <w:rsid w:val="00493AA1"/>
    <w:rsid w:val="00493DAA"/>
    <w:rsid w:val="00494628"/>
    <w:rsid w:val="00494DD0"/>
    <w:rsid w:val="0049728A"/>
    <w:rsid w:val="00497BCF"/>
    <w:rsid w:val="004A0346"/>
    <w:rsid w:val="004A2373"/>
    <w:rsid w:val="004A2E96"/>
    <w:rsid w:val="004A37AA"/>
    <w:rsid w:val="004A4A80"/>
    <w:rsid w:val="004A521A"/>
    <w:rsid w:val="004A5FCF"/>
    <w:rsid w:val="004A6445"/>
    <w:rsid w:val="004A75D0"/>
    <w:rsid w:val="004A7792"/>
    <w:rsid w:val="004B00C5"/>
    <w:rsid w:val="004B03EC"/>
    <w:rsid w:val="004B04D2"/>
    <w:rsid w:val="004B052C"/>
    <w:rsid w:val="004B0733"/>
    <w:rsid w:val="004B0E28"/>
    <w:rsid w:val="004B11EA"/>
    <w:rsid w:val="004B13AF"/>
    <w:rsid w:val="004B1B2B"/>
    <w:rsid w:val="004B38C2"/>
    <w:rsid w:val="004B3C7A"/>
    <w:rsid w:val="004B4892"/>
    <w:rsid w:val="004B516D"/>
    <w:rsid w:val="004B6316"/>
    <w:rsid w:val="004B6939"/>
    <w:rsid w:val="004B7DEE"/>
    <w:rsid w:val="004B7FEC"/>
    <w:rsid w:val="004C0C95"/>
    <w:rsid w:val="004C13B9"/>
    <w:rsid w:val="004C1935"/>
    <w:rsid w:val="004C209D"/>
    <w:rsid w:val="004C2450"/>
    <w:rsid w:val="004C2998"/>
    <w:rsid w:val="004C35CF"/>
    <w:rsid w:val="004C47A3"/>
    <w:rsid w:val="004C5211"/>
    <w:rsid w:val="004C562C"/>
    <w:rsid w:val="004C592A"/>
    <w:rsid w:val="004C6B77"/>
    <w:rsid w:val="004D0F8E"/>
    <w:rsid w:val="004D109B"/>
    <w:rsid w:val="004D18FE"/>
    <w:rsid w:val="004D2494"/>
    <w:rsid w:val="004D2A71"/>
    <w:rsid w:val="004D2C63"/>
    <w:rsid w:val="004D339A"/>
    <w:rsid w:val="004D39DB"/>
    <w:rsid w:val="004D3F1C"/>
    <w:rsid w:val="004D4235"/>
    <w:rsid w:val="004D4ADA"/>
    <w:rsid w:val="004D50E4"/>
    <w:rsid w:val="004D50EA"/>
    <w:rsid w:val="004D55EC"/>
    <w:rsid w:val="004D5B36"/>
    <w:rsid w:val="004D6F4F"/>
    <w:rsid w:val="004D6FD4"/>
    <w:rsid w:val="004D780F"/>
    <w:rsid w:val="004E021B"/>
    <w:rsid w:val="004E1667"/>
    <w:rsid w:val="004E2EA5"/>
    <w:rsid w:val="004E4DB3"/>
    <w:rsid w:val="004E6148"/>
    <w:rsid w:val="004E66C7"/>
    <w:rsid w:val="004F0767"/>
    <w:rsid w:val="004F10CB"/>
    <w:rsid w:val="004F1811"/>
    <w:rsid w:val="004F3559"/>
    <w:rsid w:val="004F4FD1"/>
    <w:rsid w:val="004F74BB"/>
    <w:rsid w:val="00502F91"/>
    <w:rsid w:val="0050322E"/>
    <w:rsid w:val="00503F3A"/>
    <w:rsid w:val="005055CE"/>
    <w:rsid w:val="00505639"/>
    <w:rsid w:val="005063B3"/>
    <w:rsid w:val="00506B3F"/>
    <w:rsid w:val="005070F4"/>
    <w:rsid w:val="00507743"/>
    <w:rsid w:val="00507970"/>
    <w:rsid w:val="00507E5A"/>
    <w:rsid w:val="00510194"/>
    <w:rsid w:val="005112D4"/>
    <w:rsid w:val="0051162A"/>
    <w:rsid w:val="00512594"/>
    <w:rsid w:val="005146E3"/>
    <w:rsid w:val="00516FDD"/>
    <w:rsid w:val="00520A68"/>
    <w:rsid w:val="005210BB"/>
    <w:rsid w:val="005229DE"/>
    <w:rsid w:val="005240AC"/>
    <w:rsid w:val="0052508A"/>
    <w:rsid w:val="005256EF"/>
    <w:rsid w:val="00526932"/>
    <w:rsid w:val="00526FDD"/>
    <w:rsid w:val="00527555"/>
    <w:rsid w:val="00530439"/>
    <w:rsid w:val="005304EA"/>
    <w:rsid w:val="00530D62"/>
    <w:rsid w:val="00531317"/>
    <w:rsid w:val="00532300"/>
    <w:rsid w:val="005345E7"/>
    <w:rsid w:val="005346ED"/>
    <w:rsid w:val="0053590E"/>
    <w:rsid w:val="00535FDB"/>
    <w:rsid w:val="00536FD1"/>
    <w:rsid w:val="00537428"/>
    <w:rsid w:val="00540C61"/>
    <w:rsid w:val="00540E74"/>
    <w:rsid w:val="00542985"/>
    <w:rsid w:val="005439BC"/>
    <w:rsid w:val="00543F47"/>
    <w:rsid w:val="00544290"/>
    <w:rsid w:val="00544BD4"/>
    <w:rsid w:val="00545348"/>
    <w:rsid w:val="00546C20"/>
    <w:rsid w:val="005476E5"/>
    <w:rsid w:val="00552941"/>
    <w:rsid w:val="00554DF5"/>
    <w:rsid w:val="00555116"/>
    <w:rsid w:val="00555343"/>
    <w:rsid w:val="0055578F"/>
    <w:rsid w:val="00555B0F"/>
    <w:rsid w:val="0055605B"/>
    <w:rsid w:val="005568CF"/>
    <w:rsid w:val="00556C65"/>
    <w:rsid w:val="00557435"/>
    <w:rsid w:val="00560649"/>
    <w:rsid w:val="00560780"/>
    <w:rsid w:val="0056255A"/>
    <w:rsid w:val="005642FC"/>
    <w:rsid w:val="0056443A"/>
    <w:rsid w:val="005654BA"/>
    <w:rsid w:val="00565B50"/>
    <w:rsid w:val="005702F1"/>
    <w:rsid w:val="005703C7"/>
    <w:rsid w:val="00570731"/>
    <w:rsid w:val="00571FD8"/>
    <w:rsid w:val="00573C4D"/>
    <w:rsid w:val="00573E1E"/>
    <w:rsid w:val="00574049"/>
    <w:rsid w:val="00574719"/>
    <w:rsid w:val="00577D93"/>
    <w:rsid w:val="0058059C"/>
    <w:rsid w:val="005805C2"/>
    <w:rsid w:val="00580874"/>
    <w:rsid w:val="00580E42"/>
    <w:rsid w:val="00584568"/>
    <w:rsid w:val="005861BC"/>
    <w:rsid w:val="005866B3"/>
    <w:rsid w:val="00586E13"/>
    <w:rsid w:val="00587664"/>
    <w:rsid w:val="005879E2"/>
    <w:rsid w:val="005904BE"/>
    <w:rsid w:val="00590664"/>
    <w:rsid w:val="00590680"/>
    <w:rsid w:val="00590A49"/>
    <w:rsid w:val="0059208A"/>
    <w:rsid w:val="00592857"/>
    <w:rsid w:val="00592BCF"/>
    <w:rsid w:val="0059318B"/>
    <w:rsid w:val="00593C4B"/>
    <w:rsid w:val="00595E1F"/>
    <w:rsid w:val="0059696E"/>
    <w:rsid w:val="0059699B"/>
    <w:rsid w:val="00596A00"/>
    <w:rsid w:val="00596DE7"/>
    <w:rsid w:val="00597943"/>
    <w:rsid w:val="005A0571"/>
    <w:rsid w:val="005A0BFF"/>
    <w:rsid w:val="005A0D39"/>
    <w:rsid w:val="005A12C8"/>
    <w:rsid w:val="005A15C0"/>
    <w:rsid w:val="005A23FA"/>
    <w:rsid w:val="005A2444"/>
    <w:rsid w:val="005A28FF"/>
    <w:rsid w:val="005A4211"/>
    <w:rsid w:val="005A6632"/>
    <w:rsid w:val="005A67E5"/>
    <w:rsid w:val="005A6C0F"/>
    <w:rsid w:val="005A6EF1"/>
    <w:rsid w:val="005A7353"/>
    <w:rsid w:val="005A7733"/>
    <w:rsid w:val="005A7886"/>
    <w:rsid w:val="005A7E2D"/>
    <w:rsid w:val="005B071E"/>
    <w:rsid w:val="005B0E02"/>
    <w:rsid w:val="005B1E67"/>
    <w:rsid w:val="005B2CAF"/>
    <w:rsid w:val="005B2E51"/>
    <w:rsid w:val="005B34CA"/>
    <w:rsid w:val="005B37E6"/>
    <w:rsid w:val="005B4052"/>
    <w:rsid w:val="005B4955"/>
    <w:rsid w:val="005B5738"/>
    <w:rsid w:val="005B66BF"/>
    <w:rsid w:val="005B67D0"/>
    <w:rsid w:val="005B6DB0"/>
    <w:rsid w:val="005B6FBC"/>
    <w:rsid w:val="005C0FCA"/>
    <w:rsid w:val="005C1343"/>
    <w:rsid w:val="005C18B3"/>
    <w:rsid w:val="005C215F"/>
    <w:rsid w:val="005C2274"/>
    <w:rsid w:val="005C3C23"/>
    <w:rsid w:val="005C3C8B"/>
    <w:rsid w:val="005C667C"/>
    <w:rsid w:val="005C7314"/>
    <w:rsid w:val="005C765C"/>
    <w:rsid w:val="005C7844"/>
    <w:rsid w:val="005D03A9"/>
    <w:rsid w:val="005D08D5"/>
    <w:rsid w:val="005D0F0F"/>
    <w:rsid w:val="005D14E4"/>
    <w:rsid w:val="005D16AB"/>
    <w:rsid w:val="005D1D1A"/>
    <w:rsid w:val="005D253C"/>
    <w:rsid w:val="005D2AFA"/>
    <w:rsid w:val="005D2F6B"/>
    <w:rsid w:val="005D360E"/>
    <w:rsid w:val="005D3A0D"/>
    <w:rsid w:val="005D3FC7"/>
    <w:rsid w:val="005D457B"/>
    <w:rsid w:val="005D599A"/>
    <w:rsid w:val="005D6693"/>
    <w:rsid w:val="005D77FB"/>
    <w:rsid w:val="005E0392"/>
    <w:rsid w:val="005E04D5"/>
    <w:rsid w:val="005E0A6B"/>
    <w:rsid w:val="005E0E7E"/>
    <w:rsid w:val="005E15A5"/>
    <w:rsid w:val="005E1BE4"/>
    <w:rsid w:val="005E2F80"/>
    <w:rsid w:val="005E41E0"/>
    <w:rsid w:val="005E444E"/>
    <w:rsid w:val="005E45DB"/>
    <w:rsid w:val="005E53FA"/>
    <w:rsid w:val="005E58BA"/>
    <w:rsid w:val="005E5B0B"/>
    <w:rsid w:val="005E6742"/>
    <w:rsid w:val="005F087E"/>
    <w:rsid w:val="005F1356"/>
    <w:rsid w:val="005F1FBC"/>
    <w:rsid w:val="005F2553"/>
    <w:rsid w:val="005F3B81"/>
    <w:rsid w:val="005F3BEB"/>
    <w:rsid w:val="005F5EF2"/>
    <w:rsid w:val="005F613B"/>
    <w:rsid w:val="005F6BFA"/>
    <w:rsid w:val="005F728D"/>
    <w:rsid w:val="006008E5"/>
    <w:rsid w:val="00600D97"/>
    <w:rsid w:val="00601E5D"/>
    <w:rsid w:val="0060263B"/>
    <w:rsid w:val="00603916"/>
    <w:rsid w:val="0060526A"/>
    <w:rsid w:val="006063D9"/>
    <w:rsid w:val="00611C55"/>
    <w:rsid w:val="00612DA6"/>
    <w:rsid w:val="006133F5"/>
    <w:rsid w:val="00613653"/>
    <w:rsid w:val="006147E2"/>
    <w:rsid w:val="006152E5"/>
    <w:rsid w:val="006207C7"/>
    <w:rsid w:val="006217D4"/>
    <w:rsid w:val="00621828"/>
    <w:rsid w:val="0062265C"/>
    <w:rsid w:val="0062314D"/>
    <w:rsid w:val="00623813"/>
    <w:rsid w:val="00623DB3"/>
    <w:rsid w:val="00625393"/>
    <w:rsid w:val="0062555B"/>
    <w:rsid w:val="00625ADB"/>
    <w:rsid w:val="00626F16"/>
    <w:rsid w:val="006307DF"/>
    <w:rsid w:val="00630B1E"/>
    <w:rsid w:val="00630CDC"/>
    <w:rsid w:val="00631461"/>
    <w:rsid w:val="00632518"/>
    <w:rsid w:val="00632C15"/>
    <w:rsid w:val="00633241"/>
    <w:rsid w:val="006338CB"/>
    <w:rsid w:val="006338E0"/>
    <w:rsid w:val="00634BC4"/>
    <w:rsid w:val="00635EB0"/>
    <w:rsid w:val="0063647C"/>
    <w:rsid w:val="00636E1B"/>
    <w:rsid w:val="006376D8"/>
    <w:rsid w:val="00640331"/>
    <w:rsid w:val="00641394"/>
    <w:rsid w:val="00642407"/>
    <w:rsid w:val="00644228"/>
    <w:rsid w:val="00644400"/>
    <w:rsid w:val="00645541"/>
    <w:rsid w:val="00646EA1"/>
    <w:rsid w:val="00647772"/>
    <w:rsid w:val="0064779E"/>
    <w:rsid w:val="00647887"/>
    <w:rsid w:val="006478D9"/>
    <w:rsid w:val="00647A4E"/>
    <w:rsid w:val="00650182"/>
    <w:rsid w:val="00650DC3"/>
    <w:rsid w:val="00650EA9"/>
    <w:rsid w:val="00651097"/>
    <w:rsid w:val="00651AFE"/>
    <w:rsid w:val="00652E0E"/>
    <w:rsid w:val="0065362A"/>
    <w:rsid w:val="00653671"/>
    <w:rsid w:val="00653AB7"/>
    <w:rsid w:val="0065466E"/>
    <w:rsid w:val="00655126"/>
    <w:rsid w:val="006562B5"/>
    <w:rsid w:val="00657604"/>
    <w:rsid w:val="00657E1C"/>
    <w:rsid w:val="00660C90"/>
    <w:rsid w:val="00661488"/>
    <w:rsid w:val="00662056"/>
    <w:rsid w:val="00662915"/>
    <w:rsid w:val="0066390C"/>
    <w:rsid w:val="00664AAB"/>
    <w:rsid w:val="00664EB4"/>
    <w:rsid w:val="00666389"/>
    <w:rsid w:val="006664F5"/>
    <w:rsid w:val="00666706"/>
    <w:rsid w:val="006667D3"/>
    <w:rsid w:val="00667F77"/>
    <w:rsid w:val="006706FA"/>
    <w:rsid w:val="0067080D"/>
    <w:rsid w:val="006709D0"/>
    <w:rsid w:val="00670C02"/>
    <w:rsid w:val="00671710"/>
    <w:rsid w:val="00671A00"/>
    <w:rsid w:val="006722F2"/>
    <w:rsid w:val="006731B1"/>
    <w:rsid w:val="00673245"/>
    <w:rsid w:val="0067373C"/>
    <w:rsid w:val="00673F0A"/>
    <w:rsid w:val="00675DD8"/>
    <w:rsid w:val="00675FDF"/>
    <w:rsid w:val="00676602"/>
    <w:rsid w:val="00676FFA"/>
    <w:rsid w:val="00677269"/>
    <w:rsid w:val="006803DB"/>
    <w:rsid w:val="00680888"/>
    <w:rsid w:val="00683560"/>
    <w:rsid w:val="00685504"/>
    <w:rsid w:val="006875B0"/>
    <w:rsid w:val="0069262B"/>
    <w:rsid w:val="00693234"/>
    <w:rsid w:val="006932F8"/>
    <w:rsid w:val="00694211"/>
    <w:rsid w:val="00695197"/>
    <w:rsid w:val="006970D8"/>
    <w:rsid w:val="00697F4D"/>
    <w:rsid w:val="006A0632"/>
    <w:rsid w:val="006A11AA"/>
    <w:rsid w:val="006A1EBB"/>
    <w:rsid w:val="006A2252"/>
    <w:rsid w:val="006A2E39"/>
    <w:rsid w:val="006A308C"/>
    <w:rsid w:val="006A3172"/>
    <w:rsid w:val="006A3D13"/>
    <w:rsid w:val="006A5760"/>
    <w:rsid w:val="006A5EEC"/>
    <w:rsid w:val="006A6940"/>
    <w:rsid w:val="006A7828"/>
    <w:rsid w:val="006A7BD3"/>
    <w:rsid w:val="006B0320"/>
    <w:rsid w:val="006B088E"/>
    <w:rsid w:val="006B1ACD"/>
    <w:rsid w:val="006B1C70"/>
    <w:rsid w:val="006B235D"/>
    <w:rsid w:val="006B3549"/>
    <w:rsid w:val="006B3FB9"/>
    <w:rsid w:val="006B50B0"/>
    <w:rsid w:val="006B56D3"/>
    <w:rsid w:val="006C001C"/>
    <w:rsid w:val="006C0E2F"/>
    <w:rsid w:val="006C285D"/>
    <w:rsid w:val="006C2A98"/>
    <w:rsid w:val="006C2AF2"/>
    <w:rsid w:val="006C2CAA"/>
    <w:rsid w:val="006C3481"/>
    <w:rsid w:val="006C352B"/>
    <w:rsid w:val="006C3FB9"/>
    <w:rsid w:val="006C4612"/>
    <w:rsid w:val="006C4CDF"/>
    <w:rsid w:val="006C501D"/>
    <w:rsid w:val="006C6E7D"/>
    <w:rsid w:val="006D098B"/>
    <w:rsid w:val="006D0CBD"/>
    <w:rsid w:val="006D10D4"/>
    <w:rsid w:val="006D2105"/>
    <w:rsid w:val="006D226D"/>
    <w:rsid w:val="006D2552"/>
    <w:rsid w:val="006D3281"/>
    <w:rsid w:val="006D36C9"/>
    <w:rsid w:val="006D6016"/>
    <w:rsid w:val="006D65EB"/>
    <w:rsid w:val="006D6BCF"/>
    <w:rsid w:val="006D6C52"/>
    <w:rsid w:val="006D6E17"/>
    <w:rsid w:val="006E04A7"/>
    <w:rsid w:val="006E0D76"/>
    <w:rsid w:val="006E1A29"/>
    <w:rsid w:val="006E25F1"/>
    <w:rsid w:val="006E2BC4"/>
    <w:rsid w:val="006E5253"/>
    <w:rsid w:val="006E5F41"/>
    <w:rsid w:val="006E69FB"/>
    <w:rsid w:val="006F058B"/>
    <w:rsid w:val="006F071B"/>
    <w:rsid w:val="006F1DA2"/>
    <w:rsid w:val="006F3F44"/>
    <w:rsid w:val="006F48E4"/>
    <w:rsid w:val="006F7311"/>
    <w:rsid w:val="006F774E"/>
    <w:rsid w:val="007007FB"/>
    <w:rsid w:val="007011D6"/>
    <w:rsid w:val="00701D76"/>
    <w:rsid w:val="00702386"/>
    <w:rsid w:val="00702587"/>
    <w:rsid w:val="00702C8A"/>
    <w:rsid w:val="00702FE1"/>
    <w:rsid w:val="007035C8"/>
    <w:rsid w:val="0070397E"/>
    <w:rsid w:val="00703E1C"/>
    <w:rsid w:val="00704431"/>
    <w:rsid w:val="0070465C"/>
    <w:rsid w:val="00704709"/>
    <w:rsid w:val="00704EA3"/>
    <w:rsid w:val="00705CBA"/>
    <w:rsid w:val="00706C64"/>
    <w:rsid w:val="00706CF6"/>
    <w:rsid w:val="00707646"/>
    <w:rsid w:val="00710ACB"/>
    <w:rsid w:val="00711282"/>
    <w:rsid w:val="007115A6"/>
    <w:rsid w:val="00711A54"/>
    <w:rsid w:val="00712370"/>
    <w:rsid w:val="0071281D"/>
    <w:rsid w:val="0071298D"/>
    <w:rsid w:val="007132EA"/>
    <w:rsid w:val="0071337B"/>
    <w:rsid w:val="007136EC"/>
    <w:rsid w:val="00715C28"/>
    <w:rsid w:val="00716191"/>
    <w:rsid w:val="007165E0"/>
    <w:rsid w:val="00717D2A"/>
    <w:rsid w:val="00720BF0"/>
    <w:rsid w:val="007211D5"/>
    <w:rsid w:val="007238DE"/>
    <w:rsid w:val="00723D82"/>
    <w:rsid w:val="007243FA"/>
    <w:rsid w:val="007251DB"/>
    <w:rsid w:val="0072536E"/>
    <w:rsid w:val="00726966"/>
    <w:rsid w:val="0072727A"/>
    <w:rsid w:val="00730EA5"/>
    <w:rsid w:val="007330C4"/>
    <w:rsid w:val="00733428"/>
    <w:rsid w:val="00733EBA"/>
    <w:rsid w:val="007351C2"/>
    <w:rsid w:val="00735452"/>
    <w:rsid w:val="007355DF"/>
    <w:rsid w:val="00736379"/>
    <w:rsid w:val="00736A90"/>
    <w:rsid w:val="007373A3"/>
    <w:rsid w:val="007401D5"/>
    <w:rsid w:val="007403EF"/>
    <w:rsid w:val="0074068E"/>
    <w:rsid w:val="00742F41"/>
    <w:rsid w:val="0074372D"/>
    <w:rsid w:val="00743A45"/>
    <w:rsid w:val="00743C3C"/>
    <w:rsid w:val="00746DA3"/>
    <w:rsid w:val="00746FC4"/>
    <w:rsid w:val="0075096B"/>
    <w:rsid w:val="00751287"/>
    <w:rsid w:val="00751B39"/>
    <w:rsid w:val="00753093"/>
    <w:rsid w:val="007532E8"/>
    <w:rsid w:val="00753FD9"/>
    <w:rsid w:val="0075410C"/>
    <w:rsid w:val="007542D1"/>
    <w:rsid w:val="00754636"/>
    <w:rsid w:val="007549FD"/>
    <w:rsid w:val="00754AEA"/>
    <w:rsid w:val="007555BA"/>
    <w:rsid w:val="00757373"/>
    <w:rsid w:val="0076043E"/>
    <w:rsid w:val="007604AD"/>
    <w:rsid w:val="007604E1"/>
    <w:rsid w:val="00760FA6"/>
    <w:rsid w:val="007613C0"/>
    <w:rsid w:val="007614B9"/>
    <w:rsid w:val="007623A6"/>
    <w:rsid w:val="0076298B"/>
    <w:rsid w:val="00762A97"/>
    <w:rsid w:val="007638DA"/>
    <w:rsid w:val="00763C59"/>
    <w:rsid w:val="007643B6"/>
    <w:rsid w:val="00764AA5"/>
    <w:rsid w:val="00765794"/>
    <w:rsid w:val="00765C7F"/>
    <w:rsid w:val="00776711"/>
    <w:rsid w:val="007812CE"/>
    <w:rsid w:val="00781421"/>
    <w:rsid w:val="00783494"/>
    <w:rsid w:val="007834F6"/>
    <w:rsid w:val="00783DF1"/>
    <w:rsid w:val="007845CE"/>
    <w:rsid w:val="007852BA"/>
    <w:rsid w:val="007856A6"/>
    <w:rsid w:val="00786113"/>
    <w:rsid w:val="00786690"/>
    <w:rsid w:val="00790F44"/>
    <w:rsid w:val="00791151"/>
    <w:rsid w:val="00792DDD"/>
    <w:rsid w:val="00794FA9"/>
    <w:rsid w:val="00795865"/>
    <w:rsid w:val="007964F5"/>
    <w:rsid w:val="00797026"/>
    <w:rsid w:val="007973F3"/>
    <w:rsid w:val="00797409"/>
    <w:rsid w:val="0079757B"/>
    <w:rsid w:val="00797AAC"/>
    <w:rsid w:val="007A07B5"/>
    <w:rsid w:val="007A196F"/>
    <w:rsid w:val="007A1A69"/>
    <w:rsid w:val="007A1BF8"/>
    <w:rsid w:val="007A2F92"/>
    <w:rsid w:val="007A3419"/>
    <w:rsid w:val="007A3DF8"/>
    <w:rsid w:val="007A4CC6"/>
    <w:rsid w:val="007A5054"/>
    <w:rsid w:val="007A6AB8"/>
    <w:rsid w:val="007A7036"/>
    <w:rsid w:val="007A7D5E"/>
    <w:rsid w:val="007B03C9"/>
    <w:rsid w:val="007B41CB"/>
    <w:rsid w:val="007B471B"/>
    <w:rsid w:val="007B4962"/>
    <w:rsid w:val="007B54A3"/>
    <w:rsid w:val="007B5F7D"/>
    <w:rsid w:val="007B7CBB"/>
    <w:rsid w:val="007C0195"/>
    <w:rsid w:val="007C0A1B"/>
    <w:rsid w:val="007C0DD2"/>
    <w:rsid w:val="007C1115"/>
    <w:rsid w:val="007C26A2"/>
    <w:rsid w:val="007C2933"/>
    <w:rsid w:val="007C29B1"/>
    <w:rsid w:val="007C2FE4"/>
    <w:rsid w:val="007C4E59"/>
    <w:rsid w:val="007C5C68"/>
    <w:rsid w:val="007C73A0"/>
    <w:rsid w:val="007C7506"/>
    <w:rsid w:val="007C7543"/>
    <w:rsid w:val="007C7BFB"/>
    <w:rsid w:val="007D033E"/>
    <w:rsid w:val="007D075F"/>
    <w:rsid w:val="007D1054"/>
    <w:rsid w:val="007D1296"/>
    <w:rsid w:val="007D322F"/>
    <w:rsid w:val="007D48FF"/>
    <w:rsid w:val="007D726A"/>
    <w:rsid w:val="007D78DD"/>
    <w:rsid w:val="007E233A"/>
    <w:rsid w:val="007E28F0"/>
    <w:rsid w:val="007E3321"/>
    <w:rsid w:val="007E3DC9"/>
    <w:rsid w:val="007E3DE5"/>
    <w:rsid w:val="007E432C"/>
    <w:rsid w:val="007E4C40"/>
    <w:rsid w:val="007E4D72"/>
    <w:rsid w:val="007E51E9"/>
    <w:rsid w:val="007E67EB"/>
    <w:rsid w:val="007F04B8"/>
    <w:rsid w:val="007F21FC"/>
    <w:rsid w:val="007F24AC"/>
    <w:rsid w:val="007F4CDD"/>
    <w:rsid w:val="007F5146"/>
    <w:rsid w:val="007F6C83"/>
    <w:rsid w:val="007F7FC5"/>
    <w:rsid w:val="00800D7E"/>
    <w:rsid w:val="008011E3"/>
    <w:rsid w:val="00804FED"/>
    <w:rsid w:val="00805175"/>
    <w:rsid w:val="00805A99"/>
    <w:rsid w:val="00805D84"/>
    <w:rsid w:val="008060AF"/>
    <w:rsid w:val="008061E9"/>
    <w:rsid w:val="00807EFF"/>
    <w:rsid w:val="00812EF1"/>
    <w:rsid w:val="00813289"/>
    <w:rsid w:val="00813C83"/>
    <w:rsid w:val="0081406F"/>
    <w:rsid w:val="00814FB5"/>
    <w:rsid w:val="00816098"/>
    <w:rsid w:val="00816DA3"/>
    <w:rsid w:val="00817450"/>
    <w:rsid w:val="00817529"/>
    <w:rsid w:val="00817791"/>
    <w:rsid w:val="0082052D"/>
    <w:rsid w:val="0082057B"/>
    <w:rsid w:val="008215A4"/>
    <w:rsid w:val="008215BA"/>
    <w:rsid w:val="00821FF6"/>
    <w:rsid w:val="00822FDF"/>
    <w:rsid w:val="00823056"/>
    <w:rsid w:val="008249BD"/>
    <w:rsid w:val="00825B65"/>
    <w:rsid w:val="0082617E"/>
    <w:rsid w:val="008267B3"/>
    <w:rsid w:val="00830BFA"/>
    <w:rsid w:val="00830FD3"/>
    <w:rsid w:val="008315F8"/>
    <w:rsid w:val="008324B3"/>
    <w:rsid w:val="00832902"/>
    <w:rsid w:val="008334C5"/>
    <w:rsid w:val="008366FC"/>
    <w:rsid w:val="00837148"/>
    <w:rsid w:val="008371F2"/>
    <w:rsid w:val="0084102C"/>
    <w:rsid w:val="00841C75"/>
    <w:rsid w:val="0084268A"/>
    <w:rsid w:val="00842A51"/>
    <w:rsid w:val="0084436A"/>
    <w:rsid w:val="00845A2A"/>
    <w:rsid w:val="00846F59"/>
    <w:rsid w:val="0084764D"/>
    <w:rsid w:val="00850FE2"/>
    <w:rsid w:val="0085112C"/>
    <w:rsid w:val="008517F5"/>
    <w:rsid w:val="00851903"/>
    <w:rsid w:val="00854A98"/>
    <w:rsid w:val="00855110"/>
    <w:rsid w:val="0085575D"/>
    <w:rsid w:val="0085588B"/>
    <w:rsid w:val="0085655A"/>
    <w:rsid w:val="00856C14"/>
    <w:rsid w:val="008610EC"/>
    <w:rsid w:val="00862149"/>
    <w:rsid w:val="0086313B"/>
    <w:rsid w:val="00863A34"/>
    <w:rsid w:val="00865771"/>
    <w:rsid w:val="00865B11"/>
    <w:rsid w:val="00866353"/>
    <w:rsid w:val="0086666A"/>
    <w:rsid w:val="00866A5D"/>
    <w:rsid w:val="00866F7D"/>
    <w:rsid w:val="00867136"/>
    <w:rsid w:val="00870A23"/>
    <w:rsid w:val="0087214D"/>
    <w:rsid w:val="00872A30"/>
    <w:rsid w:val="00873C5E"/>
    <w:rsid w:val="008745B1"/>
    <w:rsid w:val="00874A6E"/>
    <w:rsid w:val="008763F8"/>
    <w:rsid w:val="0087688E"/>
    <w:rsid w:val="00877304"/>
    <w:rsid w:val="00877D24"/>
    <w:rsid w:val="008806FE"/>
    <w:rsid w:val="0088146C"/>
    <w:rsid w:val="00881756"/>
    <w:rsid w:val="00881B2D"/>
    <w:rsid w:val="00881D2A"/>
    <w:rsid w:val="00883AA1"/>
    <w:rsid w:val="008843F0"/>
    <w:rsid w:val="008856DD"/>
    <w:rsid w:val="008860B6"/>
    <w:rsid w:val="00887944"/>
    <w:rsid w:val="00890BC1"/>
    <w:rsid w:val="00891C3A"/>
    <w:rsid w:val="00892822"/>
    <w:rsid w:val="00893518"/>
    <w:rsid w:val="008949D8"/>
    <w:rsid w:val="00894ECA"/>
    <w:rsid w:val="008951A6"/>
    <w:rsid w:val="008A0439"/>
    <w:rsid w:val="008A06F1"/>
    <w:rsid w:val="008A23D6"/>
    <w:rsid w:val="008A3B2E"/>
    <w:rsid w:val="008A3CDA"/>
    <w:rsid w:val="008A4436"/>
    <w:rsid w:val="008A457C"/>
    <w:rsid w:val="008A475C"/>
    <w:rsid w:val="008A54FF"/>
    <w:rsid w:val="008A5E6D"/>
    <w:rsid w:val="008A6BCD"/>
    <w:rsid w:val="008A763E"/>
    <w:rsid w:val="008B0287"/>
    <w:rsid w:val="008B067B"/>
    <w:rsid w:val="008B09EE"/>
    <w:rsid w:val="008B154D"/>
    <w:rsid w:val="008B180A"/>
    <w:rsid w:val="008B2868"/>
    <w:rsid w:val="008B3EE3"/>
    <w:rsid w:val="008B4DAB"/>
    <w:rsid w:val="008B5441"/>
    <w:rsid w:val="008B5CF6"/>
    <w:rsid w:val="008B6E16"/>
    <w:rsid w:val="008B6E67"/>
    <w:rsid w:val="008C2539"/>
    <w:rsid w:val="008C434B"/>
    <w:rsid w:val="008C470F"/>
    <w:rsid w:val="008C561E"/>
    <w:rsid w:val="008C7259"/>
    <w:rsid w:val="008C7B5D"/>
    <w:rsid w:val="008D08F8"/>
    <w:rsid w:val="008D157F"/>
    <w:rsid w:val="008D21F8"/>
    <w:rsid w:val="008D2742"/>
    <w:rsid w:val="008D3120"/>
    <w:rsid w:val="008D4681"/>
    <w:rsid w:val="008D529D"/>
    <w:rsid w:val="008E30CC"/>
    <w:rsid w:val="008E3A9D"/>
    <w:rsid w:val="008E3F2C"/>
    <w:rsid w:val="008E5B47"/>
    <w:rsid w:val="008E680D"/>
    <w:rsid w:val="008E7DB5"/>
    <w:rsid w:val="008F060E"/>
    <w:rsid w:val="008F148D"/>
    <w:rsid w:val="008F1D6B"/>
    <w:rsid w:val="008F53FE"/>
    <w:rsid w:val="008F543A"/>
    <w:rsid w:val="008F6D84"/>
    <w:rsid w:val="00901033"/>
    <w:rsid w:val="009010C8"/>
    <w:rsid w:val="00901DC0"/>
    <w:rsid w:val="0090223D"/>
    <w:rsid w:val="00902D00"/>
    <w:rsid w:val="00902DC8"/>
    <w:rsid w:val="00902E9B"/>
    <w:rsid w:val="009050DE"/>
    <w:rsid w:val="00906B44"/>
    <w:rsid w:val="00907089"/>
    <w:rsid w:val="00911F84"/>
    <w:rsid w:val="0091259C"/>
    <w:rsid w:val="009131F3"/>
    <w:rsid w:val="0091497D"/>
    <w:rsid w:val="00914D2A"/>
    <w:rsid w:val="0091526C"/>
    <w:rsid w:val="00915523"/>
    <w:rsid w:val="009156D5"/>
    <w:rsid w:val="00916666"/>
    <w:rsid w:val="00916C09"/>
    <w:rsid w:val="00916E88"/>
    <w:rsid w:val="0091719C"/>
    <w:rsid w:val="00920374"/>
    <w:rsid w:val="00920C3F"/>
    <w:rsid w:val="0092159E"/>
    <w:rsid w:val="00922FC3"/>
    <w:rsid w:val="009237BE"/>
    <w:rsid w:val="009237E4"/>
    <w:rsid w:val="00926AC8"/>
    <w:rsid w:val="0093053A"/>
    <w:rsid w:val="00931605"/>
    <w:rsid w:val="0093315A"/>
    <w:rsid w:val="00933199"/>
    <w:rsid w:val="009333CC"/>
    <w:rsid w:val="009344A2"/>
    <w:rsid w:val="00934984"/>
    <w:rsid w:val="0093712B"/>
    <w:rsid w:val="00937BA1"/>
    <w:rsid w:val="0094010F"/>
    <w:rsid w:val="0094087D"/>
    <w:rsid w:val="00940B4F"/>
    <w:rsid w:val="009413B7"/>
    <w:rsid w:val="00941FB0"/>
    <w:rsid w:val="00942E12"/>
    <w:rsid w:val="00943007"/>
    <w:rsid w:val="00943C9D"/>
    <w:rsid w:val="00944407"/>
    <w:rsid w:val="009449A5"/>
    <w:rsid w:val="009466A1"/>
    <w:rsid w:val="00946B44"/>
    <w:rsid w:val="00947933"/>
    <w:rsid w:val="009512CF"/>
    <w:rsid w:val="00951D37"/>
    <w:rsid w:val="00951E4E"/>
    <w:rsid w:val="009528AB"/>
    <w:rsid w:val="009534DB"/>
    <w:rsid w:val="00953F58"/>
    <w:rsid w:val="00953F98"/>
    <w:rsid w:val="009540C3"/>
    <w:rsid w:val="00957594"/>
    <w:rsid w:val="009575F4"/>
    <w:rsid w:val="009605D1"/>
    <w:rsid w:val="00960A88"/>
    <w:rsid w:val="00960B28"/>
    <w:rsid w:val="009612B7"/>
    <w:rsid w:val="00962267"/>
    <w:rsid w:val="009629D0"/>
    <w:rsid w:val="00962A79"/>
    <w:rsid w:val="00963D34"/>
    <w:rsid w:val="009642E0"/>
    <w:rsid w:val="0096443C"/>
    <w:rsid w:val="009645CC"/>
    <w:rsid w:val="009668FD"/>
    <w:rsid w:val="00966CCD"/>
    <w:rsid w:val="00966D73"/>
    <w:rsid w:val="009676F6"/>
    <w:rsid w:val="009701EA"/>
    <w:rsid w:val="009703BB"/>
    <w:rsid w:val="00970663"/>
    <w:rsid w:val="0097108E"/>
    <w:rsid w:val="0097112A"/>
    <w:rsid w:val="00971BE6"/>
    <w:rsid w:val="00972D9E"/>
    <w:rsid w:val="009732E5"/>
    <w:rsid w:val="009734CF"/>
    <w:rsid w:val="00974399"/>
    <w:rsid w:val="009744BD"/>
    <w:rsid w:val="00975C6B"/>
    <w:rsid w:val="009762E4"/>
    <w:rsid w:val="009766C0"/>
    <w:rsid w:val="009768EA"/>
    <w:rsid w:val="00976CD7"/>
    <w:rsid w:val="00980623"/>
    <w:rsid w:val="00980A38"/>
    <w:rsid w:val="009833F6"/>
    <w:rsid w:val="00983758"/>
    <w:rsid w:val="00984311"/>
    <w:rsid w:val="009853CD"/>
    <w:rsid w:val="0098568E"/>
    <w:rsid w:val="00985D40"/>
    <w:rsid w:val="00985DC8"/>
    <w:rsid w:val="00987415"/>
    <w:rsid w:val="00987FCD"/>
    <w:rsid w:val="00991304"/>
    <w:rsid w:val="00993422"/>
    <w:rsid w:val="009935EC"/>
    <w:rsid w:val="00994685"/>
    <w:rsid w:val="00994D66"/>
    <w:rsid w:val="00994DAF"/>
    <w:rsid w:val="00995D6F"/>
    <w:rsid w:val="0099681B"/>
    <w:rsid w:val="00996944"/>
    <w:rsid w:val="00996EE1"/>
    <w:rsid w:val="009A0188"/>
    <w:rsid w:val="009A048A"/>
    <w:rsid w:val="009A0BE6"/>
    <w:rsid w:val="009A1440"/>
    <w:rsid w:val="009A20DE"/>
    <w:rsid w:val="009A3745"/>
    <w:rsid w:val="009A4497"/>
    <w:rsid w:val="009A4DA2"/>
    <w:rsid w:val="009A5588"/>
    <w:rsid w:val="009A5A5E"/>
    <w:rsid w:val="009B06F7"/>
    <w:rsid w:val="009B0D9E"/>
    <w:rsid w:val="009B1762"/>
    <w:rsid w:val="009B38A3"/>
    <w:rsid w:val="009B3B7A"/>
    <w:rsid w:val="009B3E16"/>
    <w:rsid w:val="009B477A"/>
    <w:rsid w:val="009B4EDB"/>
    <w:rsid w:val="009B5ABB"/>
    <w:rsid w:val="009B6314"/>
    <w:rsid w:val="009B69BA"/>
    <w:rsid w:val="009B7473"/>
    <w:rsid w:val="009C116F"/>
    <w:rsid w:val="009C16A0"/>
    <w:rsid w:val="009C1A7F"/>
    <w:rsid w:val="009C1A84"/>
    <w:rsid w:val="009C275E"/>
    <w:rsid w:val="009C3275"/>
    <w:rsid w:val="009C35AE"/>
    <w:rsid w:val="009C3911"/>
    <w:rsid w:val="009C3A37"/>
    <w:rsid w:val="009C49E0"/>
    <w:rsid w:val="009C62C5"/>
    <w:rsid w:val="009C6410"/>
    <w:rsid w:val="009D05F2"/>
    <w:rsid w:val="009D0B0E"/>
    <w:rsid w:val="009D1A05"/>
    <w:rsid w:val="009D1CF3"/>
    <w:rsid w:val="009D266D"/>
    <w:rsid w:val="009D38B8"/>
    <w:rsid w:val="009D46C4"/>
    <w:rsid w:val="009D4B82"/>
    <w:rsid w:val="009D53AD"/>
    <w:rsid w:val="009D5DE5"/>
    <w:rsid w:val="009D6076"/>
    <w:rsid w:val="009D6739"/>
    <w:rsid w:val="009D6752"/>
    <w:rsid w:val="009D685B"/>
    <w:rsid w:val="009D7171"/>
    <w:rsid w:val="009D724A"/>
    <w:rsid w:val="009D7917"/>
    <w:rsid w:val="009D7B5B"/>
    <w:rsid w:val="009E089C"/>
    <w:rsid w:val="009E0DCE"/>
    <w:rsid w:val="009E157B"/>
    <w:rsid w:val="009E17D5"/>
    <w:rsid w:val="009E2077"/>
    <w:rsid w:val="009E2736"/>
    <w:rsid w:val="009E347A"/>
    <w:rsid w:val="009E45B7"/>
    <w:rsid w:val="009E55BC"/>
    <w:rsid w:val="009E5954"/>
    <w:rsid w:val="009E7F09"/>
    <w:rsid w:val="009E7F6B"/>
    <w:rsid w:val="009F124F"/>
    <w:rsid w:val="009F1E5C"/>
    <w:rsid w:val="009F1F19"/>
    <w:rsid w:val="009F2CA0"/>
    <w:rsid w:val="009F3C1A"/>
    <w:rsid w:val="009F3C5B"/>
    <w:rsid w:val="009F4059"/>
    <w:rsid w:val="009F4266"/>
    <w:rsid w:val="009F4776"/>
    <w:rsid w:val="009F5375"/>
    <w:rsid w:val="009F5E58"/>
    <w:rsid w:val="009F622E"/>
    <w:rsid w:val="009F6B32"/>
    <w:rsid w:val="009F6D95"/>
    <w:rsid w:val="009F6F88"/>
    <w:rsid w:val="00A00237"/>
    <w:rsid w:val="00A00CDD"/>
    <w:rsid w:val="00A012C0"/>
    <w:rsid w:val="00A017EF"/>
    <w:rsid w:val="00A01EB9"/>
    <w:rsid w:val="00A0262A"/>
    <w:rsid w:val="00A02BCF"/>
    <w:rsid w:val="00A02CA2"/>
    <w:rsid w:val="00A049FF"/>
    <w:rsid w:val="00A05C52"/>
    <w:rsid w:val="00A068AE"/>
    <w:rsid w:val="00A11316"/>
    <w:rsid w:val="00A11835"/>
    <w:rsid w:val="00A11895"/>
    <w:rsid w:val="00A11E74"/>
    <w:rsid w:val="00A14EA4"/>
    <w:rsid w:val="00A15897"/>
    <w:rsid w:val="00A1657F"/>
    <w:rsid w:val="00A16C83"/>
    <w:rsid w:val="00A21805"/>
    <w:rsid w:val="00A228DF"/>
    <w:rsid w:val="00A22C30"/>
    <w:rsid w:val="00A236F7"/>
    <w:rsid w:val="00A23783"/>
    <w:rsid w:val="00A2571F"/>
    <w:rsid w:val="00A25A40"/>
    <w:rsid w:val="00A25F7F"/>
    <w:rsid w:val="00A2620E"/>
    <w:rsid w:val="00A26297"/>
    <w:rsid w:val="00A262C5"/>
    <w:rsid w:val="00A26E35"/>
    <w:rsid w:val="00A270C7"/>
    <w:rsid w:val="00A271E6"/>
    <w:rsid w:val="00A273D6"/>
    <w:rsid w:val="00A27865"/>
    <w:rsid w:val="00A311EA"/>
    <w:rsid w:val="00A33784"/>
    <w:rsid w:val="00A3440B"/>
    <w:rsid w:val="00A34EF5"/>
    <w:rsid w:val="00A359B1"/>
    <w:rsid w:val="00A35FAE"/>
    <w:rsid w:val="00A364B8"/>
    <w:rsid w:val="00A369DE"/>
    <w:rsid w:val="00A369E8"/>
    <w:rsid w:val="00A36E74"/>
    <w:rsid w:val="00A4134B"/>
    <w:rsid w:val="00A41619"/>
    <w:rsid w:val="00A42892"/>
    <w:rsid w:val="00A43E7A"/>
    <w:rsid w:val="00A4532C"/>
    <w:rsid w:val="00A5005A"/>
    <w:rsid w:val="00A50D87"/>
    <w:rsid w:val="00A52052"/>
    <w:rsid w:val="00A52AE5"/>
    <w:rsid w:val="00A5346F"/>
    <w:rsid w:val="00A535B6"/>
    <w:rsid w:val="00A53AED"/>
    <w:rsid w:val="00A53B4D"/>
    <w:rsid w:val="00A5410F"/>
    <w:rsid w:val="00A54CFB"/>
    <w:rsid w:val="00A54E24"/>
    <w:rsid w:val="00A556C2"/>
    <w:rsid w:val="00A55D76"/>
    <w:rsid w:val="00A5614B"/>
    <w:rsid w:val="00A57D5B"/>
    <w:rsid w:val="00A61AFA"/>
    <w:rsid w:val="00A65157"/>
    <w:rsid w:val="00A65B90"/>
    <w:rsid w:val="00A672A1"/>
    <w:rsid w:val="00A675A0"/>
    <w:rsid w:val="00A67C08"/>
    <w:rsid w:val="00A70CB5"/>
    <w:rsid w:val="00A71556"/>
    <w:rsid w:val="00A718F0"/>
    <w:rsid w:val="00A72EC8"/>
    <w:rsid w:val="00A7320A"/>
    <w:rsid w:val="00A732CE"/>
    <w:rsid w:val="00A74038"/>
    <w:rsid w:val="00A74838"/>
    <w:rsid w:val="00A74C0F"/>
    <w:rsid w:val="00A74ECA"/>
    <w:rsid w:val="00A762F8"/>
    <w:rsid w:val="00A777A1"/>
    <w:rsid w:val="00A81391"/>
    <w:rsid w:val="00A81B3A"/>
    <w:rsid w:val="00A81C14"/>
    <w:rsid w:val="00A82088"/>
    <w:rsid w:val="00A8383B"/>
    <w:rsid w:val="00A83B99"/>
    <w:rsid w:val="00A83EDE"/>
    <w:rsid w:val="00A85744"/>
    <w:rsid w:val="00A86BB4"/>
    <w:rsid w:val="00A87717"/>
    <w:rsid w:val="00A878AE"/>
    <w:rsid w:val="00A90133"/>
    <w:rsid w:val="00A920CC"/>
    <w:rsid w:val="00A92136"/>
    <w:rsid w:val="00A921AB"/>
    <w:rsid w:val="00A92F6C"/>
    <w:rsid w:val="00A93120"/>
    <w:rsid w:val="00A945C0"/>
    <w:rsid w:val="00A951F0"/>
    <w:rsid w:val="00A959E3"/>
    <w:rsid w:val="00A9621C"/>
    <w:rsid w:val="00A962FA"/>
    <w:rsid w:val="00A963C5"/>
    <w:rsid w:val="00A97378"/>
    <w:rsid w:val="00AA1440"/>
    <w:rsid w:val="00AA1498"/>
    <w:rsid w:val="00AA162C"/>
    <w:rsid w:val="00AA23D6"/>
    <w:rsid w:val="00AA2C37"/>
    <w:rsid w:val="00AA4E46"/>
    <w:rsid w:val="00AA5951"/>
    <w:rsid w:val="00AA5F58"/>
    <w:rsid w:val="00AA6074"/>
    <w:rsid w:val="00AA62A3"/>
    <w:rsid w:val="00AA6BE8"/>
    <w:rsid w:val="00AA7950"/>
    <w:rsid w:val="00AB2F18"/>
    <w:rsid w:val="00AB35B4"/>
    <w:rsid w:val="00AB39CE"/>
    <w:rsid w:val="00AB59C6"/>
    <w:rsid w:val="00AB5B74"/>
    <w:rsid w:val="00AB5E0C"/>
    <w:rsid w:val="00AB7613"/>
    <w:rsid w:val="00AC00B8"/>
    <w:rsid w:val="00AC1A8B"/>
    <w:rsid w:val="00AC23AF"/>
    <w:rsid w:val="00AC2871"/>
    <w:rsid w:val="00AC3EED"/>
    <w:rsid w:val="00AC46C7"/>
    <w:rsid w:val="00AC62E5"/>
    <w:rsid w:val="00AD0A02"/>
    <w:rsid w:val="00AD14E1"/>
    <w:rsid w:val="00AD1636"/>
    <w:rsid w:val="00AD20E5"/>
    <w:rsid w:val="00AD3032"/>
    <w:rsid w:val="00AD3424"/>
    <w:rsid w:val="00AD3C61"/>
    <w:rsid w:val="00AD408A"/>
    <w:rsid w:val="00AD4645"/>
    <w:rsid w:val="00AD56B1"/>
    <w:rsid w:val="00AD5931"/>
    <w:rsid w:val="00AD5ABC"/>
    <w:rsid w:val="00AD5D72"/>
    <w:rsid w:val="00AD637B"/>
    <w:rsid w:val="00AD6B49"/>
    <w:rsid w:val="00AD7997"/>
    <w:rsid w:val="00AE0AA7"/>
    <w:rsid w:val="00AE128F"/>
    <w:rsid w:val="00AE19F1"/>
    <w:rsid w:val="00AE1A83"/>
    <w:rsid w:val="00AE1C06"/>
    <w:rsid w:val="00AE1C81"/>
    <w:rsid w:val="00AE1D81"/>
    <w:rsid w:val="00AE211C"/>
    <w:rsid w:val="00AE2167"/>
    <w:rsid w:val="00AE29E4"/>
    <w:rsid w:val="00AE31D8"/>
    <w:rsid w:val="00AE3F3D"/>
    <w:rsid w:val="00AE57C8"/>
    <w:rsid w:val="00AE6A1E"/>
    <w:rsid w:val="00AF0AE9"/>
    <w:rsid w:val="00AF0CF6"/>
    <w:rsid w:val="00AF1161"/>
    <w:rsid w:val="00AF1E06"/>
    <w:rsid w:val="00AF2181"/>
    <w:rsid w:val="00AF23CC"/>
    <w:rsid w:val="00AF41CE"/>
    <w:rsid w:val="00AF4823"/>
    <w:rsid w:val="00AF6E35"/>
    <w:rsid w:val="00AF77A4"/>
    <w:rsid w:val="00AF7E89"/>
    <w:rsid w:val="00B00B44"/>
    <w:rsid w:val="00B012CA"/>
    <w:rsid w:val="00B0291D"/>
    <w:rsid w:val="00B034FD"/>
    <w:rsid w:val="00B03C2B"/>
    <w:rsid w:val="00B03D91"/>
    <w:rsid w:val="00B04729"/>
    <w:rsid w:val="00B0524E"/>
    <w:rsid w:val="00B06608"/>
    <w:rsid w:val="00B06880"/>
    <w:rsid w:val="00B068C2"/>
    <w:rsid w:val="00B0755E"/>
    <w:rsid w:val="00B07661"/>
    <w:rsid w:val="00B07830"/>
    <w:rsid w:val="00B07B47"/>
    <w:rsid w:val="00B10007"/>
    <w:rsid w:val="00B10124"/>
    <w:rsid w:val="00B11598"/>
    <w:rsid w:val="00B11819"/>
    <w:rsid w:val="00B120C3"/>
    <w:rsid w:val="00B12C1D"/>
    <w:rsid w:val="00B133E1"/>
    <w:rsid w:val="00B1373A"/>
    <w:rsid w:val="00B13800"/>
    <w:rsid w:val="00B14BB5"/>
    <w:rsid w:val="00B14D00"/>
    <w:rsid w:val="00B150B0"/>
    <w:rsid w:val="00B1598E"/>
    <w:rsid w:val="00B15C1D"/>
    <w:rsid w:val="00B15E92"/>
    <w:rsid w:val="00B164F3"/>
    <w:rsid w:val="00B179C5"/>
    <w:rsid w:val="00B20A8F"/>
    <w:rsid w:val="00B20BCF"/>
    <w:rsid w:val="00B2201B"/>
    <w:rsid w:val="00B22693"/>
    <w:rsid w:val="00B23614"/>
    <w:rsid w:val="00B25F89"/>
    <w:rsid w:val="00B25FEA"/>
    <w:rsid w:val="00B26597"/>
    <w:rsid w:val="00B266F2"/>
    <w:rsid w:val="00B269FF"/>
    <w:rsid w:val="00B26ED2"/>
    <w:rsid w:val="00B26F50"/>
    <w:rsid w:val="00B27DBE"/>
    <w:rsid w:val="00B309C9"/>
    <w:rsid w:val="00B31507"/>
    <w:rsid w:val="00B32CE4"/>
    <w:rsid w:val="00B337CB"/>
    <w:rsid w:val="00B34051"/>
    <w:rsid w:val="00B344DA"/>
    <w:rsid w:val="00B34859"/>
    <w:rsid w:val="00B34E98"/>
    <w:rsid w:val="00B352BA"/>
    <w:rsid w:val="00B40D0D"/>
    <w:rsid w:val="00B41763"/>
    <w:rsid w:val="00B41B1A"/>
    <w:rsid w:val="00B41B75"/>
    <w:rsid w:val="00B41E41"/>
    <w:rsid w:val="00B4299D"/>
    <w:rsid w:val="00B449D4"/>
    <w:rsid w:val="00B44D22"/>
    <w:rsid w:val="00B44D7F"/>
    <w:rsid w:val="00B4522C"/>
    <w:rsid w:val="00B455CB"/>
    <w:rsid w:val="00B458CF"/>
    <w:rsid w:val="00B465F9"/>
    <w:rsid w:val="00B46AC9"/>
    <w:rsid w:val="00B46FCF"/>
    <w:rsid w:val="00B475B7"/>
    <w:rsid w:val="00B50209"/>
    <w:rsid w:val="00B50F2C"/>
    <w:rsid w:val="00B51936"/>
    <w:rsid w:val="00B51F84"/>
    <w:rsid w:val="00B51FA1"/>
    <w:rsid w:val="00B525F8"/>
    <w:rsid w:val="00B529F9"/>
    <w:rsid w:val="00B531FB"/>
    <w:rsid w:val="00B53342"/>
    <w:rsid w:val="00B549C8"/>
    <w:rsid w:val="00B57AB9"/>
    <w:rsid w:val="00B608E9"/>
    <w:rsid w:val="00B610FF"/>
    <w:rsid w:val="00B614B7"/>
    <w:rsid w:val="00B61619"/>
    <w:rsid w:val="00B64226"/>
    <w:rsid w:val="00B64AAC"/>
    <w:rsid w:val="00B671D5"/>
    <w:rsid w:val="00B7104C"/>
    <w:rsid w:val="00B72252"/>
    <w:rsid w:val="00B7257A"/>
    <w:rsid w:val="00B72BE9"/>
    <w:rsid w:val="00B72EB6"/>
    <w:rsid w:val="00B7475B"/>
    <w:rsid w:val="00B7476F"/>
    <w:rsid w:val="00B7616F"/>
    <w:rsid w:val="00B76392"/>
    <w:rsid w:val="00B7639A"/>
    <w:rsid w:val="00B76B7B"/>
    <w:rsid w:val="00B76D8C"/>
    <w:rsid w:val="00B803CE"/>
    <w:rsid w:val="00B806C5"/>
    <w:rsid w:val="00B81402"/>
    <w:rsid w:val="00B828A5"/>
    <w:rsid w:val="00B87452"/>
    <w:rsid w:val="00B90601"/>
    <w:rsid w:val="00B90B2D"/>
    <w:rsid w:val="00B91148"/>
    <w:rsid w:val="00B9123F"/>
    <w:rsid w:val="00B91635"/>
    <w:rsid w:val="00B91A04"/>
    <w:rsid w:val="00B91EB3"/>
    <w:rsid w:val="00B92751"/>
    <w:rsid w:val="00B927C9"/>
    <w:rsid w:val="00B92B41"/>
    <w:rsid w:val="00B93C9C"/>
    <w:rsid w:val="00B94785"/>
    <w:rsid w:val="00B94F3F"/>
    <w:rsid w:val="00B95674"/>
    <w:rsid w:val="00B966E3"/>
    <w:rsid w:val="00B97274"/>
    <w:rsid w:val="00BA1B28"/>
    <w:rsid w:val="00BA3102"/>
    <w:rsid w:val="00BA3918"/>
    <w:rsid w:val="00BA3AD1"/>
    <w:rsid w:val="00BA48E3"/>
    <w:rsid w:val="00BA5146"/>
    <w:rsid w:val="00BA5EC9"/>
    <w:rsid w:val="00BA650E"/>
    <w:rsid w:val="00BA660D"/>
    <w:rsid w:val="00BA6B2B"/>
    <w:rsid w:val="00BA77AA"/>
    <w:rsid w:val="00BA7A11"/>
    <w:rsid w:val="00BA7FF4"/>
    <w:rsid w:val="00BB0E56"/>
    <w:rsid w:val="00BB0EB1"/>
    <w:rsid w:val="00BB1358"/>
    <w:rsid w:val="00BB251A"/>
    <w:rsid w:val="00BB26C8"/>
    <w:rsid w:val="00BB2E4F"/>
    <w:rsid w:val="00BB377B"/>
    <w:rsid w:val="00BB3C80"/>
    <w:rsid w:val="00BB4107"/>
    <w:rsid w:val="00BB645A"/>
    <w:rsid w:val="00BB6ADB"/>
    <w:rsid w:val="00BB7327"/>
    <w:rsid w:val="00BB7B8C"/>
    <w:rsid w:val="00BC0725"/>
    <w:rsid w:val="00BC0B39"/>
    <w:rsid w:val="00BC185E"/>
    <w:rsid w:val="00BC22AD"/>
    <w:rsid w:val="00BC2BA6"/>
    <w:rsid w:val="00BC4117"/>
    <w:rsid w:val="00BC4246"/>
    <w:rsid w:val="00BC4968"/>
    <w:rsid w:val="00BC58DF"/>
    <w:rsid w:val="00BC6982"/>
    <w:rsid w:val="00BD1B46"/>
    <w:rsid w:val="00BD2C51"/>
    <w:rsid w:val="00BD3CA2"/>
    <w:rsid w:val="00BD516D"/>
    <w:rsid w:val="00BD56F1"/>
    <w:rsid w:val="00BD5C5B"/>
    <w:rsid w:val="00BD65BF"/>
    <w:rsid w:val="00BE0045"/>
    <w:rsid w:val="00BE2410"/>
    <w:rsid w:val="00BE40DF"/>
    <w:rsid w:val="00BE571F"/>
    <w:rsid w:val="00BE627B"/>
    <w:rsid w:val="00BE763D"/>
    <w:rsid w:val="00BE7BD2"/>
    <w:rsid w:val="00BF002D"/>
    <w:rsid w:val="00BF05DA"/>
    <w:rsid w:val="00BF09E8"/>
    <w:rsid w:val="00BF0E36"/>
    <w:rsid w:val="00BF0F0D"/>
    <w:rsid w:val="00BF1009"/>
    <w:rsid w:val="00BF17C5"/>
    <w:rsid w:val="00BF199C"/>
    <w:rsid w:val="00BF1B32"/>
    <w:rsid w:val="00BF2150"/>
    <w:rsid w:val="00BF2A71"/>
    <w:rsid w:val="00BF2D9B"/>
    <w:rsid w:val="00BF3282"/>
    <w:rsid w:val="00BF3861"/>
    <w:rsid w:val="00BF3B8B"/>
    <w:rsid w:val="00BF404E"/>
    <w:rsid w:val="00BF460F"/>
    <w:rsid w:val="00BF4CC7"/>
    <w:rsid w:val="00BF59EE"/>
    <w:rsid w:val="00BF6FAD"/>
    <w:rsid w:val="00C0409F"/>
    <w:rsid w:val="00C0441A"/>
    <w:rsid w:val="00C0464A"/>
    <w:rsid w:val="00C05F25"/>
    <w:rsid w:val="00C06654"/>
    <w:rsid w:val="00C074BC"/>
    <w:rsid w:val="00C07E9B"/>
    <w:rsid w:val="00C07EF1"/>
    <w:rsid w:val="00C1068B"/>
    <w:rsid w:val="00C11C1C"/>
    <w:rsid w:val="00C1200F"/>
    <w:rsid w:val="00C1229D"/>
    <w:rsid w:val="00C12CB3"/>
    <w:rsid w:val="00C136FE"/>
    <w:rsid w:val="00C13935"/>
    <w:rsid w:val="00C139C9"/>
    <w:rsid w:val="00C13E8E"/>
    <w:rsid w:val="00C148B7"/>
    <w:rsid w:val="00C15095"/>
    <w:rsid w:val="00C161AF"/>
    <w:rsid w:val="00C163C7"/>
    <w:rsid w:val="00C16BA2"/>
    <w:rsid w:val="00C174B6"/>
    <w:rsid w:val="00C20020"/>
    <w:rsid w:val="00C21E72"/>
    <w:rsid w:val="00C21FFB"/>
    <w:rsid w:val="00C22231"/>
    <w:rsid w:val="00C22D89"/>
    <w:rsid w:val="00C23351"/>
    <w:rsid w:val="00C23C78"/>
    <w:rsid w:val="00C2680C"/>
    <w:rsid w:val="00C27759"/>
    <w:rsid w:val="00C27A42"/>
    <w:rsid w:val="00C27DFE"/>
    <w:rsid w:val="00C31003"/>
    <w:rsid w:val="00C31627"/>
    <w:rsid w:val="00C31D11"/>
    <w:rsid w:val="00C32961"/>
    <w:rsid w:val="00C32EA8"/>
    <w:rsid w:val="00C33459"/>
    <w:rsid w:val="00C336A2"/>
    <w:rsid w:val="00C3559E"/>
    <w:rsid w:val="00C36052"/>
    <w:rsid w:val="00C36123"/>
    <w:rsid w:val="00C4002D"/>
    <w:rsid w:val="00C40A61"/>
    <w:rsid w:val="00C4129C"/>
    <w:rsid w:val="00C4230A"/>
    <w:rsid w:val="00C42FB2"/>
    <w:rsid w:val="00C43B9F"/>
    <w:rsid w:val="00C4538A"/>
    <w:rsid w:val="00C45857"/>
    <w:rsid w:val="00C46EC5"/>
    <w:rsid w:val="00C478F6"/>
    <w:rsid w:val="00C47A30"/>
    <w:rsid w:val="00C509FB"/>
    <w:rsid w:val="00C51911"/>
    <w:rsid w:val="00C554F0"/>
    <w:rsid w:val="00C57A79"/>
    <w:rsid w:val="00C60376"/>
    <w:rsid w:val="00C60392"/>
    <w:rsid w:val="00C625DF"/>
    <w:rsid w:val="00C6357C"/>
    <w:rsid w:val="00C64A8F"/>
    <w:rsid w:val="00C6536B"/>
    <w:rsid w:val="00C65A58"/>
    <w:rsid w:val="00C66A58"/>
    <w:rsid w:val="00C67A6C"/>
    <w:rsid w:val="00C67D69"/>
    <w:rsid w:val="00C70E36"/>
    <w:rsid w:val="00C71E5F"/>
    <w:rsid w:val="00C725E9"/>
    <w:rsid w:val="00C72E3F"/>
    <w:rsid w:val="00C735BA"/>
    <w:rsid w:val="00C73834"/>
    <w:rsid w:val="00C73A4C"/>
    <w:rsid w:val="00C74129"/>
    <w:rsid w:val="00C74E36"/>
    <w:rsid w:val="00C76565"/>
    <w:rsid w:val="00C76D5B"/>
    <w:rsid w:val="00C81143"/>
    <w:rsid w:val="00C81891"/>
    <w:rsid w:val="00C82206"/>
    <w:rsid w:val="00C82E04"/>
    <w:rsid w:val="00C83842"/>
    <w:rsid w:val="00C83B4B"/>
    <w:rsid w:val="00C875E5"/>
    <w:rsid w:val="00C87B5E"/>
    <w:rsid w:val="00C87E38"/>
    <w:rsid w:val="00C87F4F"/>
    <w:rsid w:val="00C900D7"/>
    <w:rsid w:val="00C90DBF"/>
    <w:rsid w:val="00C92B15"/>
    <w:rsid w:val="00C92B35"/>
    <w:rsid w:val="00C92B85"/>
    <w:rsid w:val="00C92DDC"/>
    <w:rsid w:val="00C9336F"/>
    <w:rsid w:val="00C93964"/>
    <w:rsid w:val="00C93DF5"/>
    <w:rsid w:val="00C93E86"/>
    <w:rsid w:val="00C94498"/>
    <w:rsid w:val="00C946BB"/>
    <w:rsid w:val="00C96B0E"/>
    <w:rsid w:val="00C96BC0"/>
    <w:rsid w:val="00C9723D"/>
    <w:rsid w:val="00C9742B"/>
    <w:rsid w:val="00C97C79"/>
    <w:rsid w:val="00CA0348"/>
    <w:rsid w:val="00CA1291"/>
    <w:rsid w:val="00CA1B96"/>
    <w:rsid w:val="00CA29E2"/>
    <w:rsid w:val="00CA3718"/>
    <w:rsid w:val="00CA3D2A"/>
    <w:rsid w:val="00CA3F65"/>
    <w:rsid w:val="00CA49A1"/>
    <w:rsid w:val="00CA4B3D"/>
    <w:rsid w:val="00CA4D08"/>
    <w:rsid w:val="00CA4E86"/>
    <w:rsid w:val="00CA5FE1"/>
    <w:rsid w:val="00CB00E2"/>
    <w:rsid w:val="00CB1C02"/>
    <w:rsid w:val="00CB1ECC"/>
    <w:rsid w:val="00CB2007"/>
    <w:rsid w:val="00CB20CE"/>
    <w:rsid w:val="00CB275B"/>
    <w:rsid w:val="00CB5828"/>
    <w:rsid w:val="00CB660F"/>
    <w:rsid w:val="00CB75F1"/>
    <w:rsid w:val="00CB7E94"/>
    <w:rsid w:val="00CC0198"/>
    <w:rsid w:val="00CC2019"/>
    <w:rsid w:val="00CC25C4"/>
    <w:rsid w:val="00CC3BCE"/>
    <w:rsid w:val="00CC4A9F"/>
    <w:rsid w:val="00CC4BF0"/>
    <w:rsid w:val="00CC5091"/>
    <w:rsid w:val="00CC537D"/>
    <w:rsid w:val="00CD19E8"/>
    <w:rsid w:val="00CD35A1"/>
    <w:rsid w:val="00CD3A5F"/>
    <w:rsid w:val="00CD3AE7"/>
    <w:rsid w:val="00CD3CF4"/>
    <w:rsid w:val="00CD4D00"/>
    <w:rsid w:val="00CD5307"/>
    <w:rsid w:val="00CD5C1F"/>
    <w:rsid w:val="00CD697A"/>
    <w:rsid w:val="00CD6C08"/>
    <w:rsid w:val="00CD6D6B"/>
    <w:rsid w:val="00CE0369"/>
    <w:rsid w:val="00CE06E5"/>
    <w:rsid w:val="00CE09D1"/>
    <w:rsid w:val="00CE0A4F"/>
    <w:rsid w:val="00CE0C83"/>
    <w:rsid w:val="00CE13AF"/>
    <w:rsid w:val="00CE1649"/>
    <w:rsid w:val="00CE1BAF"/>
    <w:rsid w:val="00CE1FB3"/>
    <w:rsid w:val="00CE2864"/>
    <w:rsid w:val="00CE313D"/>
    <w:rsid w:val="00CE364D"/>
    <w:rsid w:val="00CE46AB"/>
    <w:rsid w:val="00CE48B4"/>
    <w:rsid w:val="00CE55AD"/>
    <w:rsid w:val="00CE5AB6"/>
    <w:rsid w:val="00CF11AC"/>
    <w:rsid w:val="00CF35BF"/>
    <w:rsid w:val="00CF3B9F"/>
    <w:rsid w:val="00CF4DD4"/>
    <w:rsid w:val="00CF5270"/>
    <w:rsid w:val="00CF53FE"/>
    <w:rsid w:val="00CF587C"/>
    <w:rsid w:val="00CF5D4D"/>
    <w:rsid w:val="00D022B0"/>
    <w:rsid w:val="00D028F4"/>
    <w:rsid w:val="00D02D65"/>
    <w:rsid w:val="00D0492A"/>
    <w:rsid w:val="00D04F3F"/>
    <w:rsid w:val="00D0674A"/>
    <w:rsid w:val="00D10F91"/>
    <w:rsid w:val="00D113A8"/>
    <w:rsid w:val="00D115D1"/>
    <w:rsid w:val="00D11C99"/>
    <w:rsid w:val="00D11DAC"/>
    <w:rsid w:val="00D12041"/>
    <w:rsid w:val="00D12CA7"/>
    <w:rsid w:val="00D12CCB"/>
    <w:rsid w:val="00D130D0"/>
    <w:rsid w:val="00D13364"/>
    <w:rsid w:val="00D13FA6"/>
    <w:rsid w:val="00D14447"/>
    <w:rsid w:val="00D14626"/>
    <w:rsid w:val="00D14C84"/>
    <w:rsid w:val="00D156B4"/>
    <w:rsid w:val="00D15881"/>
    <w:rsid w:val="00D1648F"/>
    <w:rsid w:val="00D17110"/>
    <w:rsid w:val="00D1794E"/>
    <w:rsid w:val="00D20EC8"/>
    <w:rsid w:val="00D22DCB"/>
    <w:rsid w:val="00D231C8"/>
    <w:rsid w:val="00D23325"/>
    <w:rsid w:val="00D23901"/>
    <w:rsid w:val="00D23F8F"/>
    <w:rsid w:val="00D2453C"/>
    <w:rsid w:val="00D2544D"/>
    <w:rsid w:val="00D2569E"/>
    <w:rsid w:val="00D2784E"/>
    <w:rsid w:val="00D30B5D"/>
    <w:rsid w:val="00D319DA"/>
    <w:rsid w:val="00D3231E"/>
    <w:rsid w:val="00D32C7F"/>
    <w:rsid w:val="00D336F6"/>
    <w:rsid w:val="00D34747"/>
    <w:rsid w:val="00D34CD3"/>
    <w:rsid w:val="00D34FAD"/>
    <w:rsid w:val="00D351E0"/>
    <w:rsid w:val="00D356F1"/>
    <w:rsid w:val="00D36575"/>
    <w:rsid w:val="00D3669D"/>
    <w:rsid w:val="00D373F7"/>
    <w:rsid w:val="00D37C93"/>
    <w:rsid w:val="00D41050"/>
    <w:rsid w:val="00D43440"/>
    <w:rsid w:val="00D4358C"/>
    <w:rsid w:val="00D44729"/>
    <w:rsid w:val="00D45A4C"/>
    <w:rsid w:val="00D45D1D"/>
    <w:rsid w:val="00D46CB9"/>
    <w:rsid w:val="00D47299"/>
    <w:rsid w:val="00D47315"/>
    <w:rsid w:val="00D477D5"/>
    <w:rsid w:val="00D511E1"/>
    <w:rsid w:val="00D53BDB"/>
    <w:rsid w:val="00D54F18"/>
    <w:rsid w:val="00D553F6"/>
    <w:rsid w:val="00D55A03"/>
    <w:rsid w:val="00D55EF9"/>
    <w:rsid w:val="00D5661A"/>
    <w:rsid w:val="00D56C2F"/>
    <w:rsid w:val="00D60A05"/>
    <w:rsid w:val="00D639F0"/>
    <w:rsid w:val="00D64944"/>
    <w:rsid w:val="00D64EFD"/>
    <w:rsid w:val="00D66438"/>
    <w:rsid w:val="00D669A7"/>
    <w:rsid w:val="00D67379"/>
    <w:rsid w:val="00D70634"/>
    <w:rsid w:val="00D707CB"/>
    <w:rsid w:val="00D76D71"/>
    <w:rsid w:val="00D808E9"/>
    <w:rsid w:val="00D821B8"/>
    <w:rsid w:val="00D83CA2"/>
    <w:rsid w:val="00D84A13"/>
    <w:rsid w:val="00D84B8A"/>
    <w:rsid w:val="00D84EA1"/>
    <w:rsid w:val="00D85B8C"/>
    <w:rsid w:val="00D8664A"/>
    <w:rsid w:val="00D871B1"/>
    <w:rsid w:val="00D87C93"/>
    <w:rsid w:val="00D90035"/>
    <w:rsid w:val="00D90038"/>
    <w:rsid w:val="00D90461"/>
    <w:rsid w:val="00D90A88"/>
    <w:rsid w:val="00D90F6A"/>
    <w:rsid w:val="00D91B64"/>
    <w:rsid w:val="00D91CE1"/>
    <w:rsid w:val="00D91EFE"/>
    <w:rsid w:val="00D93B53"/>
    <w:rsid w:val="00D93BAF"/>
    <w:rsid w:val="00D94331"/>
    <w:rsid w:val="00D94B61"/>
    <w:rsid w:val="00D952F0"/>
    <w:rsid w:val="00D95578"/>
    <w:rsid w:val="00D9609B"/>
    <w:rsid w:val="00D969F1"/>
    <w:rsid w:val="00D9755C"/>
    <w:rsid w:val="00D9779E"/>
    <w:rsid w:val="00D9798C"/>
    <w:rsid w:val="00DA11A6"/>
    <w:rsid w:val="00DA1264"/>
    <w:rsid w:val="00DA1292"/>
    <w:rsid w:val="00DA139D"/>
    <w:rsid w:val="00DA152C"/>
    <w:rsid w:val="00DA1BC3"/>
    <w:rsid w:val="00DA505F"/>
    <w:rsid w:val="00DA5675"/>
    <w:rsid w:val="00DA59DE"/>
    <w:rsid w:val="00DA5D7A"/>
    <w:rsid w:val="00DA5F0B"/>
    <w:rsid w:val="00DA5F85"/>
    <w:rsid w:val="00DA7229"/>
    <w:rsid w:val="00DA73BD"/>
    <w:rsid w:val="00DA7491"/>
    <w:rsid w:val="00DB084A"/>
    <w:rsid w:val="00DB0D78"/>
    <w:rsid w:val="00DB1FAD"/>
    <w:rsid w:val="00DB3724"/>
    <w:rsid w:val="00DB4C66"/>
    <w:rsid w:val="00DB6049"/>
    <w:rsid w:val="00DB6347"/>
    <w:rsid w:val="00DB6F58"/>
    <w:rsid w:val="00DC0403"/>
    <w:rsid w:val="00DC191E"/>
    <w:rsid w:val="00DC24A2"/>
    <w:rsid w:val="00DC2DA3"/>
    <w:rsid w:val="00DC39D2"/>
    <w:rsid w:val="00DC3A9D"/>
    <w:rsid w:val="00DC51AD"/>
    <w:rsid w:val="00DC5B50"/>
    <w:rsid w:val="00DC7ECC"/>
    <w:rsid w:val="00DC7F27"/>
    <w:rsid w:val="00DD0162"/>
    <w:rsid w:val="00DD11B3"/>
    <w:rsid w:val="00DD15FD"/>
    <w:rsid w:val="00DD1C4E"/>
    <w:rsid w:val="00DD1D77"/>
    <w:rsid w:val="00DD1DF4"/>
    <w:rsid w:val="00DD3057"/>
    <w:rsid w:val="00DD307D"/>
    <w:rsid w:val="00DD3CDC"/>
    <w:rsid w:val="00DD405A"/>
    <w:rsid w:val="00DD47AB"/>
    <w:rsid w:val="00DD5891"/>
    <w:rsid w:val="00DD7089"/>
    <w:rsid w:val="00DD7BE9"/>
    <w:rsid w:val="00DE0195"/>
    <w:rsid w:val="00DE11F7"/>
    <w:rsid w:val="00DE20B1"/>
    <w:rsid w:val="00DE236D"/>
    <w:rsid w:val="00DE389B"/>
    <w:rsid w:val="00DE390A"/>
    <w:rsid w:val="00DE4630"/>
    <w:rsid w:val="00DE4DD0"/>
    <w:rsid w:val="00DE512E"/>
    <w:rsid w:val="00DE5D92"/>
    <w:rsid w:val="00DE5E8A"/>
    <w:rsid w:val="00DE64D4"/>
    <w:rsid w:val="00DE65A8"/>
    <w:rsid w:val="00DE6696"/>
    <w:rsid w:val="00DE6797"/>
    <w:rsid w:val="00DE6BBF"/>
    <w:rsid w:val="00DE6D60"/>
    <w:rsid w:val="00DE7B04"/>
    <w:rsid w:val="00DF1B64"/>
    <w:rsid w:val="00DF1D5C"/>
    <w:rsid w:val="00DF1F2F"/>
    <w:rsid w:val="00DF1FD5"/>
    <w:rsid w:val="00DF21B8"/>
    <w:rsid w:val="00DF5883"/>
    <w:rsid w:val="00DF6FE4"/>
    <w:rsid w:val="00DF74D2"/>
    <w:rsid w:val="00DF7CF3"/>
    <w:rsid w:val="00DF7DBD"/>
    <w:rsid w:val="00E0087D"/>
    <w:rsid w:val="00E01EAD"/>
    <w:rsid w:val="00E026DD"/>
    <w:rsid w:val="00E03568"/>
    <w:rsid w:val="00E03EEE"/>
    <w:rsid w:val="00E040CB"/>
    <w:rsid w:val="00E05167"/>
    <w:rsid w:val="00E05EB4"/>
    <w:rsid w:val="00E07324"/>
    <w:rsid w:val="00E07687"/>
    <w:rsid w:val="00E07773"/>
    <w:rsid w:val="00E078C4"/>
    <w:rsid w:val="00E07F99"/>
    <w:rsid w:val="00E1036F"/>
    <w:rsid w:val="00E11721"/>
    <w:rsid w:val="00E1182F"/>
    <w:rsid w:val="00E11A31"/>
    <w:rsid w:val="00E11EAE"/>
    <w:rsid w:val="00E13A7F"/>
    <w:rsid w:val="00E1611B"/>
    <w:rsid w:val="00E2192D"/>
    <w:rsid w:val="00E2227D"/>
    <w:rsid w:val="00E23345"/>
    <w:rsid w:val="00E239EE"/>
    <w:rsid w:val="00E23A58"/>
    <w:rsid w:val="00E23FFD"/>
    <w:rsid w:val="00E2415D"/>
    <w:rsid w:val="00E24EC4"/>
    <w:rsid w:val="00E25689"/>
    <w:rsid w:val="00E26132"/>
    <w:rsid w:val="00E26600"/>
    <w:rsid w:val="00E27D84"/>
    <w:rsid w:val="00E30620"/>
    <w:rsid w:val="00E30A58"/>
    <w:rsid w:val="00E3122F"/>
    <w:rsid w:val="00E312C1"/>
    <w:rsid w:val="00E31340"/>
    <w:rsid w:val="00E31659"/>
    <w:rsid w:val="00E31955"/>
    <w:rsid w:val="00E32627"/>
    <w:rsid w:val="00E33ABD"/>
    <w:rsid w:val="00E37BB3"/>
    <w:rsid w:val="00E37BFE"/>
    <w:rsid w:val="00E37DAE"/>
    <w:rsid w:val="00E40006"/>
    <w:rsid w:val="00E40E22"/>
    <w:rsid w:val="00E42B0A"/>
    <w:rsid w:val="00E44F3A"/>
    <w:rsid w:val="00E4586D"/>
    <w:rsid w:val="00E45A81"/>
    <w:rsid w:val="00E46DE1"/>
    <w:rsid w:val="00E46E1A"/>
    <w:rsid w:val="00E472AE"/>
    <w:rsid w:val="00E500DF"/>
    <w:rsid w:val="00E50516"/>
    <w:rsid w:val="00E51C7B"/>
    <w:rsid w:val="00E539D4"/>
    <w:rsid w:val="00E53F65"/>
    <w:rsid w:val="00E55F55"/>
    <w:rsid w:val="00E560E4"/>
    <w:rsid w:val="00E575F1"/>
    <w:rsid w:val="00E57FD6"/>
    <w:rsid w:val="00E6053A"/>
    <w:rsid w:val="00E60641"/>
    <w:rsid w:val="00E616E2"/>
    <w:rsid w:val="00E619DD"/>
    <w:rsid w:val="00E61B80"/>
    <w:rsid w:val="00E624F2"/>
    <w:rsid w:val="00E630FF"/>
    <w:rsid w:val="00E64487"/>
    <w:rsid w:val="00E66000"/>
    <w:rsid w:val="00E661D1"/>
    <w:rsid w:val="00E673AC"/>
    <w:rsid w:val="00E711B8"/>
    <w:rsid w:val="00E71809"/>
    <w:rsid w:val="00E72B36"/>
    <w:rsid w:val="00E7755A"/>
    <w:rsid w:val="00E77714"/>
    <w:rsid w:val="00E77F14"/>
    <w:rsid w:val="00E81038"/>
    <w:rsid w:val="00E812A1"/>
    <w:rsid w:val="00E81CBF"/>
    <w:rsid w:val="00E81F74"/>
    <w:rsid w:val="00E82BB0"/>
    <w:rsid w:val="00E82BED"/>
    <w:rsid w:val="00E82F9D"/>
    <w:rsid w:val="00E835AA"/>
    <w:rsid w:val="00E84C5C"/>
    <w:rsid w:val="00E87246"/>
    <w:rsid w:val="00E87C20"/>
    <w:rsid w:val="00E87E17"/>
    <w:rsid w:val="00E903CE"/>
    <w:rsid w:val="00E90BFD"/>
    <w:rsid w:val="00E91927"/>
    <w:rsid w:val="00E93ACE"/>
    <w:rsid w:val="00E93E9A"/>
    <w:rsid w:val="00E944E4"/>
    <w:rsid w:val="00E95320"/>
    <w:rsid w:val="00E957CB"/>
    <w:rsid w:val="00E959B9"/>
    <w:rsid w:val="00E95E17"/>
    <w:rsid w:val="00E96CF5"/>
    <w:rsid w:val="00EA0539"/>
    <w:rsid w:val="00EA1B8A"/>
    <w:rsid w:val="00EA2493"/>
    <w:rsid w:val="00EA257D"/>
    <w:rsid w:val="00EA2D2D"/>
    <w:rsid w:val="00EA2D9E"/>
    <w:rsid w:val="00EA39A9"/>
    <w:rsid w:val="00EA3B2D"/>
    <w:rsid w:val="00EA448D"/>
    <w:rsid w:val="00EA4C01"/>
    <w:rsid w:val="00EA5B63"/>
    <w:rsid w:val="00EA67A6"/>
    <w:rsid w:val="00EA6F72"/>
    <w:rsid w:val="00EA719D"/>
    <w:rsid w:val="00EA7DBC"/>
    <w:rsid w:val="00EB02FE"/>
    <w:rsid w:val="00EB067E"/>
    <w:rsid w:val="00EB0E31"/>
    <w:rsid w:val="00EB0F81"/>
    <w:rsid w:val="00EB1012"/>
    <w:rsid w:val="00EB1C54"/>
    <w:rsid w:val="00EB2F4F"/>
    <w:rsid w:val="00EB31CF"/>
    <w:rsid w:val="00EB36AE"/>
    <w:rsid w:val="00EB3BEA"/>
    <w:rsid w:val="00EB497E"/>
    <w:rsid w:val="00EB506C"/>
    <w:rsid w:val="00EB5382"/>
    <w:rsid w:val="00EB58E5"/>
    <w:rsid w:val="00EB639F"/>
    <w:rsid w:val="00EB6596"/>
    <w:rsid w:val="00EB7546"/>
    <w:rsid w:val="00EB7775"/>
    <w:rsid w:val="00EC08F5"/>
    <w:rsid w:val="00EC1536"/>
    <w:rsid w:val="00EC32D3"/>
    <w:rsid w:val="00EC4264"/>
    <w:rsid w:val="00EC49BE"/>
    <w:rsid w:val="00EC4DC7"/>
    <w:rsid w:val="00EC4F7B"/>
    <w:rsid w:val="00EC61FE"/>
    <w:rsid w:val="00ED1102"/>
    <w:rsid w:val="00ED1812"/>
    <w:rsid w:val="00ED1CA8"/>
    <w:rsid w:val="00ED3E6E"/>
    <w:rsid w:val="00ED404C"/>
    <w:rsid w:val="00ED61ED"/>
    <w:rsid w:val="00ED6C85"/>
    <w:rsid w:val="00ED7B00"/>
    <w:rsid w:val="00EE022E"/>
    <w:rsid w:val="00EE08AD"/>
    <w:rsid w:val="00EE0ABD"/>
    <w:rsid w:val="00EE2148"/>
    <w:rsid w:val="00EE253B"/>
    <w:rsid w:val="00EE3E5E"/>
    <w:rsid w:val="00EE4560"/>
    <w:rsid w:val="00EE47B1"/>
    <w:rsid w:val="00EE4D42"/>
    <w:rsid w:val="00EE6F36"/>
    <w:rsid w:val="00EF0708"/>
    <w:rsid w:val="00EF0893"/>
    <w:rsid w:val="00EF0D48"/>
    <w:rsid w:val="00EF132A"/>
    <w:rsid w:val="00EF1C45"/>
    <w:rsid w:val="00EF4B07"/>
    <w:rsid w:val="00EF6290"/>
    <w:rsid w:val="00EF6455"/>
    <w:rsid w:val="00EF6C2B"/>
    <w:rsid w:val="00EF6E61"/>
    <w:rsid w:val="00EF720C"/>
    <w:rsid w:val="00EF76E6"/>
    <w:rsid w:val="00F00CDB"/>
    <w:rsid w:val="00F00E15"/>
    <w:rsid w:val="00F00F0E"/>
    <w:rsid w:val="00F016BD"/>
    <w:rsid w:val="00F021B0"/>
    <w:rsid w:val="00F03E66"/>
    <w:rsid w:val="00F04ABA"/>
    <w:rsid w:val="00F04CEF"/>
    <w:rsid w:val="00F105F4"/>
    <w:rsid w:val="00F11569"/>
    <w:rsid w:val="00F118DB"/>
    <w:rsid w:val="00F1192C"/>
    <w:rsid w:val="00F12795"/>
    <w:rsid w:val="00F13773"/>
    <w:rsid w:val="00F148BC"/>
    <w:rsid w:val="00F15406"/>
    <w:rsid w:val="00F15766"/>
    <w:rsid w:val="00F161DE"/>
    <w:rsid w:val="00F168FB"/>
    <w:rsid w:val="00F16B41"/>
    <w:rsid w:val="00F1745C"/>
    <w:rsid w:val="00F20933"/>
    <w:rsid w:val="00F22EDC"/>
    <w:rsid w:val="00F233E5"/>
    <w:rsid w:val="00F23821"/>
    <w:rsid w:val="00F2445C"/>
    <w:rsid w:val="00F25E3A"/>
    <w:rsid w:val="00F2697D"/>
    <w:rsid w:val="00F27ED4"/>
    <w:rsid w:val="00F304D5"/>
    <w:rsid w:val="00F3336D"/>
    <w:rsid w:val="00F333B2"/>
    <w:rsid w:val="00F338E1"/>
    <w:rsid w:val="00F3452C"/>
    <w:rsid w:val="00F348FB"/>
    <w:rsid w:val="00F36641"/>
    <w:rsid w:val="00F37534"/>
    <w:rsid w:val="00F37564"/>
    <w:rsid w:val="00F37F7C"/>
    <w:rsid w:val="00F40024"/>
    <w:rsid w:val="00F438B0"/>
    <w:rsid w:val="00F43AF4"/>
    <w:rsid w:val="00F4420A"/>
    <w:rsid w:val="00F447B9"/>
    <w:rsid w:val="00F44815"/>
    <w:rsid w:val="00F44FEB"/>
    <w:rsid w:val="00F4549D"/>
    <w:rsid w:val="00F45769"/>
    <w:rsid w:val="00F4639A"/>
    <w:rsid w:val="00F465BA"/>
    <w:rsid w:val="00F4671B"/>
    <w:rsid w:val="00F46AEB"/>
    <w:rsid w:val="00F46F5F"/>
    <w:rsid w:val="00F474F4"/>
    <w:rsid w:val="00F50D36"/>
    <w:rsid w:val="00F52625"/>
    <w:rsid w:val="00F52E9D"/>
    <w:rsid w:val="00F542CD"/>
    <w:rsid w:val="00F5473F"/>
    <w:rsid w:val="00F5506D"/>
    <w:rsid w:val="00F55500"/>
    <w:rsid w:val="00F555F4"/>
    <w:rsid w:val="00F55B38"/>
    <w:rsid w:val="00F55BA5"/>
    <w:rsid w:val="00F612A6"/>
    <w:rsid w:val="00F61BA3"/>
    <w:rsid w:val="00F632BF"/>
    <w:rsid w:val="00F63D5E"/>
    <w:rsid w:val="00F65BD0"/>
    <w:rsid w:val="00F663CD"/>
    <w:rsid w:val="00F665EC"/>
    <w:rsid w:val="00F66D3F"/>
    <w:rsid w:val="00F66E3A"/>
    <w:rsid w:val="00F67675"/>
    <w:rsid w:val="00F67A7B"/>
    <w:rsid w:val="00F67BB6"/>
    <w:rsid w:val="00F703F6"/>
    <w:rsid w:val="00F7172D"/>
    <w:rsid w:val="00F72DC0"/>
    <w:rsid w:val="00F736A1"/>
    <w:rsid w:val="00F7507E"/>
    <w:rsid w:val="00F81074"/>
    <w:rsid w:val="00F82AF5"/>
    <w:rsid w:val="00F84BAB"/>
    <w:rsid w:val="00F85A99"/>
    <w:rsid w:val="00F86A04"/>
    <w:rsid w:val="00F86EF0"/>
    <w:rsid w:val="00F900ED"/>
    <w:rsid w:val="00F90B1B"/>
    <w:rsid w:val="00F90D1E"/>
    <w:rsid w:val="00F91560"/>
    <w:rsid w:val="00F94025"/>
    <w:rsid w:val="00F96843"/>
    <w:rsid w:val="00F97274"/>
    <w:rsid w:val="00F97506"/>
    <w:rsid w:val="00FA030C"/>
    <w:rsid w:val="00FA0959"/>
    <w:rsid w:val="00FA103E"/>
    <w:rsid w:val="00FA1A5F"/>
    <w:rsid w:val="00FA271F"/>
    <w:rsid w:val="00FA4147"/>
    <w:rsid w:val="00FA425F"/>
    <w:rsid w:val="00FA5A59"/>
    <w:rsid w:val="00FA6457"/>
    <w:rsid w:val="00FA7299"/>
    <w:rsid w:val="00FB05AE"/>
    <w:rsid w:val="00FB25AC"/>
    <w:rsid w:val="00FB2C53"/>
    <w:rsid w:val="00FB48F9"/>
    <w:rsid w:val="00FB4F0F"/>
    <w:rsid w:val="00FB52B2"/>
    <w:rsid w:val="00FB5588"/>
    <w:rsid w:val="00FB5873"/>
    <w:rsid w:val="00FB608A"/>
    <w:rsid w:val="00FB6D14"/>
    <w:rsid w:val="00FB6DA3"/>
    <w:rsid w:val="00FB6F89"/>
    <w:rsid w:val="00FB77D8"/>
    <w:rsid w:val="00FC011C"/>
    <w:rsid w:val="00FC04C2"/>
    <w:rsid w:val="00FC2B93"/>
    <w:rsid w:val="00FC3BCC"/>
    <w:rsid w:val="00FC3ECB"/>
    <w:rsid w:val="00FC4406"/>
    <w:rsid w:val="00FC5B43"/>
    <w:rsid w:val="00FC6E3E"/>
    <w:rsid w:val="00FC774A"/>
    <w:rsid w:val="00FD021C"/>
    <w:rsid w:val="00FD19B1"/>
    <w:rsid w:val="00FD1A33"/>
    <w:rsid w:val="00FD246B"/>
    <w:rsid w:val="00FD2DBA"/>
    <w:rsid w:val="00FD33C6"/>
    <w:rsid w:val="00FD4544"/>
    <w:rsid w:val="00FD472B"/>
    <w:rsid w:val="00FD550C"/>
    <w:rsid w:val="00FD65D3"/>
    <w:rsid w:val="00FD671C"/>
    <w:rsid w:val="00FD6EA2"/>
    <w:rsid w:val="00FE12C5"/>
    <w:rsid w:val="00FE148F"/>
    <w:rsid w:val="00FE2246"/>
    <w:rsid w:val="00FE22B0"/>
    <w:rsid w:val="00FE4886"/>
    <w:rsid w:val="00FE4C31"/>
    <w:rsid w:val="00FE5A04"/>
    <w:rsid w:val="00FE6605"/>
    <w:rsid w:val="00FF1A4E"/>
    <w:rsid w:val="00FF1A91"/>
    <w:rsid w:val="00FF2C05"/>
    <w:rsid w:val="00FF3CA0"/>
    <w:rsid w:val="00FF4632"/>
    <w:rsid w:val="03DB6CF9"/>
    <w:rsid w:val="03E80EB5"/>
    <w:rsid w:val="045C20FC"/>
    <w:rsid w:val="04C96C18"/>
    <w:rsid w:val="07286911"/>
    <w:rsid w:val="07A52E3A"/>
    <w:rsid w:val="0A105700"/>
    <w:rsid w:val="0BEA332F"/>
    <w:rsid w:val="0EBE2D5D"/>
    <w:rsid w:val="11ED3060"/>
    <w:rsid w:val="11FD6EBC"/>
    <w:rsid w:val="13AA6D6B"/>
    <w:rsid w:val="1A0D3EC8"/>
    <w:rsid w:val="1BF54D40"/>
    <w:rsid w:val="1DC80250"/>
    <w:rsid w:val="1FBC0824"/>
    <w:rsid w:val="20F27158"/>
    <w:rsid w:val="21272BD3"/>
    <w:rsid w:val="216C6661"/>
    <w:rsid w:val="242D4BA0"/>
    <w:rsid w:val="248E20E7"/>
    <w:rsid w:val="27021522"/>
    <w:rsid w:val="29F20A9A"/>
    <w:rsid w:val="2AC829E7"/>
    <w:rsid w:val="2E546031"/>
    <w:rsid w:val="2EAE0DC7"/>
    <w:rsid w:val="32D71AB5"/>
    <w:rsid w:val="34563AA7"/>
    <w:rsid w:val="34B568A4"/>
    <w:rsid w:val="355E222A"/>
    <w:rsid w:val="35BA697C"/>
    <w:rsid w:val="398A4BA6"/>
    <w:rsid w:val="399A5A0D"/>
    <w:rsid w:val="3B7E53AD"/>
    <w:rsid w:val="3D2F1109"/>
    <w:rsid w:val="3DE46D03"/>
    <w:rsid w:val="3E28238F"/>
    <w:rsid w:val="3ECD1F37"/>
    <w:rsid w:val="40565478"/>
    <w:rsid w:val="40BA00DA"/>
    <w:rsid w:val="41950292"/>
    <w:rsid w:val="45172803"/>
    <w:rsid w:val="451F3CBF"/>
    <w:rsid w:val="463631FD"/>
    <w:rsid w:val="471C7CA7"/>
    <w:rsid w:val="48613E5A"/>
    <w:rsid w:val="48CF30AB"/>
    <w:rsid w:val="49FB2325"/>
    <w:rsid w:val="4AE956F3"/>
    <w:rsid w:val="4CDF5E62"/>
    <w:rsid w:val="4DB86F2B"/>
    <w:rsid w:val="51837931"/>
    <w:rsid w:val="52BB4709"/>
    <w:rsid w:val="52D6723F"/>
    <w:rsid w:val="53453F16"/>
    <w:rsid w:val="54277193"/>
    <w:rsid w:val="557232CB"/>
    <w:rsid w:val="55F435F6"/>
    <w:rsid w:val="576C4844"/>
    <w:rsid w:val="57953780"/>
    <w:rsid w:val="59565202"/>
    <w:rsid w:val="59E30F31"/>
    <w:rsid w:val="5A7067EB"/>
    <w:rsid w:val="5BD25D46"/>
    <w:rsid w:val="5D5224B4"/>
    <w:rsid w:val="5FDB1C28"/>
    <w:rsid w:val="601A65A6"/>
    <w:rsid w:val="602B586B"/>
    <w:rsid w:val="606D23E0"/>
    <w:rsid w:val="614F6512"/>
    <w:rsid w:val="61BA393F"/>
    <w:rsid w:val="61F0738A"/>
    <w:rsid w:val="61FF6C33"/>
    <w:rsid w:val="634B4A90"/>
    <w:rsid w:val="64E407A8"/>
    <w:rsid w:val="67A51304"/>
    <w:rsid w:val="6C4C1E79"/>
    <w:rsid w:val="6CA53238"/>
    <w:rsid w:val="6CA77B74"/>
    <w:rsid w:val="6CF93D75"/>
    <w:rsid w:val="6D3C2CB5"/>
    <w:rsid w:val="6E733F50"/>
    <w:rsid w:val="6EE12EFF"/>
    <w:rsid w:val="708F042B"/>
    <w:rsid w:val="716B5818"/>
    <w:rsid w:val="7197221F"/>
    <w:rsid w:val="71CC4EF9"/>
    <w:rsid w:val="73F31855"/>
    <w:rsid w:val="75D7656C"/>
    <w:rsid w:val="76E71E50"/>
    <w:rsid w:val="78105DE9"/>
    <w:rsid w:val="786E481D"/>
    <w:rsid w:val="796643C3"/>
    <w:rsid w:val="7B7B1751"/>
    <w:rsid w:val="7D7D7A2E"/>
    <w:rsid w:val="7F0B4A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qFormat="1" w:unhideWhenUsed="0" w:uiPriority="0" w:semiHidden="0"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iPriority="0" w:semiHidden="0" w:name="List 2"/>
    <w:lsdException w:qFormat="1" w:unhideWhenUsed="0" w:uiPriority="0" w:semiHidden="0"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iPriority="99" w:name="List Continue 3"/>
    <w:lsdException w:uiPriority="99" w:name="List Continue 4"/>
    <w:lsdException w:uiPriority="99" w:name="List Continue 5"/>
    <w:lsdException w:qFormat="1"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qFormat="1" w:unhideWhenUsed="0" w:uiPriority="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link w:val="74"/>
    <w:qFormat/>
    <w:uiPriority w:val="0"/>
    <w:pPr>
      <w:outlineLvl w:val="0"/>
    </w:pPr>
  </w:style>
  <w:style w:type="paragraph" w:styleId="4">
    <w:name w:val="heading 2"/>
    <w:basedOn w:val="1"/>
    <w:next w:val="1"/>
    <w:link w:val="83"/>
    <w:qFormat/>
    <w:uiPriority w:val="0"/>
    <w:pPr>
      <w:keepNext/>
      <w:keepLines/>
      <w:spacing w:line="360" w:lineRule="auto"/>
      <w:ind w:left="819" w:hanging="819" w:hangingChars="240"/>
      <w:outlineLvl w:val="1"/>
    </w:pPr>
    <w:rPr>
      <w:rFonts w:ascii="Times New Roman" w:hAnsi="Times New Roman" w:eastAsia="楷体_GB2312" w:cs="Times New Roman"/>
      <w:b/>
      <w:spacing w:val="10"/>
      <w:kern w:val="28"/>
      <w:sz w:val="32"/>
      <w:szCs w:val="32"/>
    </w:rPr>
  </w:style>
  <w:style w:type="paragraph" w:styleId="5">
    <w:name w:val="heading 3"/>
    <w:basedOn w:val="1"/>
    <w:next w:val="1"/>
    <w:link w:val="76"/>
    <w:qFormat/>
    <w:uiPriority w:val="0"/>
    <w:pPr>
      <w:keepNext/>
      <w:keepLines/>
      <w:spacing w:line="360" w:lineRule="auto"/>
      <w:outlineLvl w:val="2"/>
    </w:pPr>
    <w:rPr>
      <w:rFonts w:ascii="Times New Roman" w:hAnsi="Times New Roman" w:eastAsia="楷体_GB2312" w:cs="Times New Roman"/>
      <w:b/>
      <w:color w:val="1F497D"/>
      <w:spacing w:val="10"/>
      <w:kern w:val="28"/>
      <w:sz w:val="30"/>
      <w:szCs w:val="30"/>
    </w:rPr>
  </w:style>
  <w:style w:type="paragraph" w:styleId="6">
    <w:name w:val="heading 4"/>
    <w:basedOn w:val="1"/>
    <w:next w:val="1"/>
    <w:link w:val="77"/>
    <w:qFormat/>
    <w:uiPriority w:val="0"/>
    <w:pPr>
      <w:keepNext/>
      <w:keepLines/>
      <w:widowControl/>
      <w:spacing w:before="200" w:line="276" w:lineRule="auto"/>
      <w:jc w:val="left"/>
      <w:outlineLvl w:val="3"/>
    </w:pPr>
    <w:rPr>
      <w:rFonts w:ascii="Cambria" w:hAnsi="Cambria" w:eastAsia="宋体" w:cs="Times New Roman"/>
      <w:b/>
      <w:bCs/>
      <w:i/>
      <w:iCs/>
      <w:color w:val="4F81BD"/>
      <w:kern w:val="0"/>
      <w:sz w:val="22"/>
      <w:lang w:eastAsia="en-US"/>
    </w:rPr>
  </w:style>
  <w:style w:type="paragraph" w:styleId="7">
    <w:name w:val="heading 5"/>
    <w:basedOn w:val="1"/>
    <w:next w:val="1"/>
    <w:link w:val="78"/>
    <w:qFormat/>
    <w:uiPriority w:val="0"/>
    <w:pPr>
      <w:keepNext/>
      <w:keepLines/>
      <w:widowControl/>
      <w:spacing w:before="200" w:line="276" w:lineRule="auto"/>
      <w:jc w:val="left"/>
      <w:outlineLvl w:val="4"/>
    </w:pPr>
    <w:rPr>
      <w:rFonts w:ascii="Cambria" w:hAnsi="Cambria" w:eastAsia="宋体" w:cs="Times New Roman"/>
      <w:color w:val="243F60"/>
      <w:kern w:val="0"/>
      <w:sz w:val="22"/>
      <w:lang w:eastAsia="en-US"/>
    </w:rPr>
  </w:style>
  <w:style w:type="paragraph" w:styleId="8">
    <w:name w:val="heading 6"/>
    <w:basedOn w:val="1"/>
    <w:next w:val="1"/>
    <w:link w:val="79"/>
    <w:qFormat/>
    <w:uiPriority w:val="0"/>
    <w:pPr>
      <w:keepNext/>
      <w:keepLines/>
      <w:widowControl/>
      <w:spacing w:before="200" w:line="276" w:lineRule="auto"/>
      <w:jc w:val="left"/>
      <w:outlineLvl w:val="5"/>
    </w:pPr>
    <w:rPr>
      <w:rFonts w:ascii="Cambria" w:hAnsi="Cambria" w:eastAsia="宋体" w:cs="Times New Roman"/>
      <w:i/>
      <w:iCs/>
      <w:color w:val="243F60"/>
      <w:kern w:val="0"/>
      <w:sz w:val="22"/>
      <w:lang w:eastAsia="en-US"/>
    </w:rPr>
  </w:style>
  <w:style w:type="paragraph" w:styleId="9">
    <w:name w:val="heading 7"/>
    <w:basedOn w:val="1"/>
    <w:next w:val="1"/>
    <w:link w:val="80"/>
    <w:qFormat/>
    <w:uiPriority w:val="0"/>
    <w:pPr>
      <w:keepNext/>
      <w:keepLines/>
      <w:widowControl/>
      <w:spacing w:before="200" w:line="276" w:lineRule="auto"/>
      <w:jc w:val="left"/>
      <w:outlineLvl w:val="6"/>
    </w:pPr>
    <w:rPr>
      <w:rFonts w:ascii="Cambria" w:hAnsi="Cambria" w:eastAsia="宋体" w:cs="Times New Roman"/>
      <w:i/>
      <w:iCs/>
      <w:color w:val="404040"/>
      <w:kern w:val="0"/>
      <w:sz w:val="22"/>
      <w:lang w:eastAsia="en-US"/>
    </w:rPr>
  </w:style>
  <w:style w:type="paragraph" w:styleId="10">
    <w:name w:val="heading 8"/>
    <w:basedOn w:val="1"/>
    <w:next w:val="1"/>
    <w:link w:val="81"/>
    <w:qFormat/>
    <w:uiPriority w:val="0"/>
    <w:pPr>
      <w:keepNext/>
      <w:keepLines/>
      <w:widowControl/>
      <w:spacing w:before="200" w:line="276" w:lineRule="auto"/>
      <w:jc w:val="left"/>
      <w:outlineLvl w:val="7"/>
    </w:pPr>
    <w:rPr>
      <w:rFonts w:ascii="Cambria" w:hAnsi="Cambria" w:eastAsia="宋体" w:cs="Times New Roman"/>
      <w:color w:val="4F81BD"/>
      <w:kern w:val="0"/>
      <w:sz w:val="20"/>
      <w:szCs w:val="20"/>
      <w:lang w:eastAsia="en-US"/>
    </w:rPr>
  </w:style>
  <w:style w:type="paragraph" w:styleId="11">
    <w:name w:val="heading 9"/>
    <w:basedOn w:val="1"/>
    <w:next w:val="1"/>
    <w:link w:val="82"/>
    <w:qFormat/>
    <w:uiPriority w:val="0"/>
    <w:pPr>
      <w:keepNext/>
      <w:keepLines/>
      <w:widowControl/>
      <w:spacing w:before="200" w:line="276" w:lineRule="auto"/>
      <w:jc w:val="left"/>
      <w:outlineLvl w:val="8"/>
    </w:pPr>
    <w:rPr>
      <w:rFonts w:ascii="Cambria" w:hAnsi="Cambria" w:eastAsia="宋体" w:cs="Times New Roman"/>
      <w:i/>
      <w:iCs/>
      <w:color w:val="404040"/>
      <w:kern w:val="0"/>
      <w:sz w:val="20"/>
      <w:szCs w:val="20"/>
      <w:lang w:eastAsia="en-US"/>
    </w:rPr>
  </w:style>
  <w:style w:type="character" w:default="1" w:styleId="65">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3">
    <w:name w:val="Title"/>
    <w:basedOn w:val="1"/>
    <w:next w:val="1"/>
    <w:link w:val="89"/>
    <w:autoRedefine/>
    <w:qFormat/>
    <w:uiPriority w:val="0"/>
    <w:pPr>
      <w:widowControl/>
      <w:pBdr>
        <w:bottom w:val="single" w:color="4F81BD" w:sz="8" w:space="4"/>
      </w:pBdr>
      <w:spacing w:after="300" w:line="360" w:lineRule="auto"/>
      <w:contextualSpacing/>
    </w:pPr>
    <w:rPr>
      <w:rFonts w:ascii="Times New Roman" w:hAnsi="Times New Roman" w:eastAsia="楷体_GB2312" w:cs="Times New Roman"/>
      <w:b/>
      <w:color w:val="17365D"/>
      <w:spacing w:val="5"/>
      <w:kern w:val="28"/>
      <w:sz w:val="36"/>
      <w:szCs w:val="36"/>
    </w:rPr>
  </w:style>
  <w:style w:type="paragraph" w:styleId="12">
    <w:name w:val="List 3"/>
    <w:basedOn w:val="1"/>
    <w:qFormat/>
    <w:uiPriority w:val="0"/>
    <w:pPr>
      <w:ind w:left="100" w:leftChars="400" w:hanging="200" w:hangingChars="200"/>
    </w:pPr>
    <w:rPr>
      <w:rFonts w:ascii="Times New Roman" w:hAnsi="Times New Roman" w:eastAsia="宋体" w:cs="Times New Roman"/>
      <w:szCs w:val="24"/>
    </w:rPr>
  </w:style>
  <w:style w:type="paragraph" w:styleId="13">
    <w:name w:val="toc 7"/>
    <w:basedOn w:val="1"/>
    <w:next w:val="1"/>
    <w:qFormat/>
    <w:uiPriority w:val="39"/>
    <w:pPr>
      <w:ind w:left="1260"/>
      <w:jc w:val="left"/>
    </w:pPr>
    <w:rPr>
      <w:rFonts w:ascii="Times New Roman" w:hAnsi="Times New Roman" w:eastAsia="宋体" w:cs="Times New Roman"/>
      <w:sz w:val="18"/>
      <w:szCs w:val="18"/>
    </w:rPr>
  </w:style>
  <w:style w:type="paragraph" w:styleId="14">
    <w:name w:val="List Number 2"/>
    <w:basedOn w:val="1"/>
    <w:qFormat/>
    <w:uiPriority w:val="0"/>
    <w:pPr>
      <w:numPr>
        <w:ilvl w:val="0"/>
        <w:numId w:val="1"/>
      </w:numPr>
      <w:tabs>
        <w:tab w:val="left" w:pos="780"/>
        <w:tab w:val="clear" w:pos="1474"/>
      </w:tabs>
      <w:adjustRightInd w:val="0"/>
      <w:snapToGrid w:val="0"/>
      <w:spacing w:line="360" w:lineRule="auto"/>
      <w:ind w:left="780" w:leftChars="200" w:hanging="360" w:hangingChars="200"/>
      <w:textAlignment w:val="baseline"/>
    </w:pPr>
    <w:rPr>
      <w:rFonts w:ascii="Times New Roman" w:hAnsi="Times New Roman" w:eastAsia="宋体" w:cs="Times New Roman"/>
      <w:kern w:val="0"/>
      <w:sz w:val="28"/>
      <w:szCs w:val="20"/>
    </w:rPr>
  </w:style>
  <w:style w:type="paragraph" w:styleId="15">
    <w:name w:val="Note Heading"/>
    <w:basedOn w:val="1"/>
    <w:next w:val="1"/>
    <w:link w:val="273"/>
    <w:autoRedefine/>
    <w:qFormat/>
    <w:uiPriority w:val="0"/>
    <w:pPr>
      <w:jc w:val="center"/>
    </w:pPr>
    <w:rPr>
      <w:rFonts w:ascii="Times New Roman" w:hAnsi="Times New Roman" w:eastAsia="宋体" w:cs="Times New Roman"/>
      <w:szCs w:val="20"/>
    </w:rPr>
  </w:style>
  <w:style w:type="paragraph" w:styleId="16">
    <w:name w:val="List Bullet 4"/>
    <w:basedOn w:val="1"/>
    <w:qFormat/>
    <w:uiPriority w:val="0"/>
    <w:pPr>
      <w:tabs>
        <w:tab w:val="left" w:pos="1620"/>
      </w:tabs>
      <w:adjustRightInd w:val="0"/>
      <w:snapToGrid w:val="0"/>
      <w:spacing w:line="360" w:lineRule="auto"/>
      <w:ind w:left="1620" w:leftChars="600" w:hanging="360" w:hangingChars="200"/>
      <w:textAlignment w:val="baseline"/>
    </w:pPr>
    <w:rPr>
      <w:rFonts w:ascii="Times New Roman" w:hAnsi="Times New Roman" w:eastAsia="宋体" w:cs="Times New Roman"/>
      <w:kern w:val="0"/>
      <w:sz w:val="28"/>
      <w:szCs w:val="20"/>
    </w:rPr>
  </w:style>
  <w:style w:type="paragraph" w:styleId="17">
    <w:name w:val="List Number"/>
    <w:basedOn w:val="1"/>
    <w:qFormat/>
    <w:uiPriority w:val="0"/>
    <w:pPr>
      <w:tabs>
        <w:tab w:val="left" w:pos="360"/>
      </w:tabs>
      <w:adjustRightInd w:val="0"/>
      <w:snapToGrid w:val="0"/>
      <w:spacing w:line="360" w:lineRule="auto"/>
      <w:ind w:left="360" w:hanging="360" w:hangingChars="200"/>
      <w:textAlignment w:val="baseline"/>
    </w:pPr>
    <w:rPr>
      <w:rFonts w:ascii="Times New Roman" w:hAnsi="Times New Roman" w:eastAsia="宋体" w:cs="Times New Roman"/>
      <w:kern w:val="0"/>
      <w:sz w:val="28"/>
      <w:szCs w:val="20"/>
    </w:rPr>
  </w:style>
  <w:style w:type="paragraph" w:styleId="18">
    <w:name w:val="Normal Indent"/>
    <w:basedOn w:val="1"/>
    <w:link w:val="121"/>
    <w:autoRedefine/>
    <w:qFormat/>
    <w:uiPriority w:val="0"/>
    <w:pPr>
      <w:ind w:firstLine="420"/>
    </w:pPr>
    <w:rPr>
      <w:rFonts w:ascii="Times New Roman" w:hAnsi="Times New Roman" w:eastAsia="宋体" w:cs="Times New Roman"/>
      <w:szCs w:val="20"/>
    </w:rPr>
  </w:style>
  <w:style w:type="paragraph" w:styleId="19">
    <w:name w:val="caption"/>
    <w:basedOn w:val="1"/>
    <w:next w:val="1"/>
    <w:qFormat/>
    <w:uiPriority w:val="0"/>
    <w:pPr>
      <w:spacing w:before="80" w:after="120" w:line="360" w:lineRule="auto"/>
      <w:jc w:val="center"/>
    </w:pPr>
    <w:rPr>
      <w:rFonts w:ascii="Arial" w:hAnsi="Arial" w:eastAsia="黑体" w:cs="Times New Roman"/>
      <w:sz w:val="28"/>
      <w:szCs w:val="20"/>
    </w:rPr>
  </w:style>
  <w:style w:type="paragraph" w:styleId="20">
    <w:name w:val="List Bullet"/>
    <w:basedOn w:val="1"/>
    <w:qFormat/>
    <w:uiPriority w:val="0"/>
    <w:pPr>
      <w:tabs>
        <w:tab w:val="left" w:pos="360"/>
      </w:tabs>
      <w:adjustRightInd w:val="0"/>
      <w:snapToGrid w:val="0"/>
      <w:spacing w:line="360" w:lineRule="auto"/>
      <w:ind w:left="360" w:hanging="360" w:hangingChars="200"/>
      <w:textAlignment w:val="baseline"/>
    </w:pPr>
    <w:rPr>
      <w:rFonts w:ascii="Times New Roman" w:hAnsi="Times New Roman" w:eastAsia="宋体" w:cs="Times New Roman"/>
      <w:kern w:val="0"/>
      <w:sz w:val="28"/>
      <w:szCs w:val="20"/>
    </w:rPr>
  </w:style>
  <w:style w:type="paragraph" w:styleId="21">
    <w:name w:val="Document Map"/>
    <w:basedOn w:val="1"/>
    <w:link w:val="174"/>
    <w:semiHidden/>
    <w:qFormat/>
    <w:uiPriority w:val="99"/>
    <w:pPr>
      <w:shd w:val="clear" w:color="auto" w:fill="000080"/>
    </w:pPr>
    <w:rPr>
      <w:rFonts w:ascii="Times New Roman" w:hAnsi="Times New Roman" w:eastAsia="宋体" w:cs="Times New Roman"/>
      <w:sz w:val="28"/>
      <w:szCs w:val="24"/>
    </w:rPr>
  </w:style>
  <w:style w:type="paragraph" w:styleId="22">
    <w:name w:val="annotation text"/>
    <w:basedOn w:val="1"/>
    <w:link w:val="295"/>
    <w:qFormat/>
    <w:uiPriority w:val="99"/>
    <w:pPr>
      <w:jc w:val="left"/>
    </w:pPr>
  </w:style>
  <w:style w:type="paragraph" w:styleId="23">
    <w:name w:val="Body Text 3"/>
    <w:basedOn w:val="1"/>
    <w:link w:val="199"/>
    <w:autoRedefine/>
    <w:qFormat/>
    <w:uiPriority w:val="0"/>
    <w:pPr>
      <w:adjustRightInd w:val="0"/>
      <w:snapToGrid w:val="0"/>
      <w:spacing w:line="400" w:lineRule="exact"/>
    </w:pPr>
    <w:rPr>
      <w:rFonts w:ascii="Times New Roman" w:hAnsi="Times New Roman" w:eastAsia="楷体_GB2312" w:cs="Times New Roman"/>
      <w:sz w:val="24"/>
      <w:szCs w:val="24"/>
    </w:rPr>
  </w:style>
  <w:style w:type="paragraph" w:styleId="24">
    <w:name w:val="List Bullet 3"/>
    <w:basedOn w:val="1"/>
    <w:qFormat/>
    <w:uiPriority w:val="0"/>
    <w:pPr>
      <w:tabs>
        <w:tab w:val="left" w:pos="1200"/>
      </w:tabs>
      <w:adjustRightInd w:val="0"/>
      <w:snapToGrid w:val="0"/>
      <w:spacing w:line="360" w:lineRule="auto"/>
      <w:ind w:left="1200" w:leftChars="400" w:hanging="360" w:hangingChars="200"/>
      <w:textAlignment w:val="baseline"/>
    </w:pPr>
    <w:rPr>
      <w:rFonts w:ascii="Times New Roman" w:hAnsi="Times New Roman" w:eastAsia="宋体" w:cs="Times New Roman"/>
      <w:kern w:val="0"/>
      <w:sz w:val="28"/>
      <w:szCs w:val="20"/>
    </w:rPr>
  </w:style>
  <w:style w:type="paragraph" w:styleId="25">
    <w:name w:val="Body Text"/>
    <w:basedOn w:val="1"/>
    <w:link w:val="105"/>
    <w:qFormat/>
    <w:uiPriority w:val="0"/>
    <w:pPr>
      <w:spacing w:line="300" w:lineRule="auto"/>
      <w:jc w:val="center"/>
    </w:pPr>
    <w:rPr>
      <w:rFonts w:ascii="Times New Roman" w:hAnsi="Times New Roman" w:eastAsia="宋体" w:cs="Times New Roman"/>
      <w:sz w:val="24"/>
      <w:szCs w:val="20"/>
    </w:rPr>
  </w:style>
  <w:style w:type="paragraph" w:styleId="26">
    <w:name w:val="Body Text Indent"/>
    <w:basedOn w:val="1"/>
    <w:link w:val="114"/>
    <w:autoRedefine/>
    <w:qFormat/>
    <w:uiPriority w:val="0"/>
    <w:pPr>
      <w:spacing w:after="120"/>
      <w:ind w:left="420" w:leftChars="200"/>
    </w:pPr>
    <w:rPr>
      <w:rFonts w:ascii="Times New Roman" w:hAnsi="Times New Roman" w:eastAsia="宋体" w:cs="Times New Roman"/>
      <w:szCs w:val="24"/>
    </w:rPr>
  </w:style>
  <w:style w:type="paragraph" w:styleId="27">
    <w:name w:val="List Number 3"/>
    <w:basedOn w:val="1"/>
    <w:qFormat/>
    <w:uiPriority w:val="0"/>
    <w:pPr>
      <w:numPr>
        <w:ilvl w:val="1"/>
        <w:numId w:val="1"/>
      </w:numPr>
      <w:tabs>
        <w:tab w:val="left" w:pos="1200"/>
        <w:tab w:val="clear" w:pos="799"/>
      </w:tabs>
      <w:adjustRightInd w:val="0"/>
      <w:snapToGrid w:val="0"/>
      <w:spacing w:line="360" w:lineRule="auto"/>
      <w:ind w:left="1200" w:leftChars="400" w:hanging="360" w:hangingChars="200"/>
      <w:textAlignment w:val="baseline"/>
    </w:pPr>
    <w:rPr>
      <w:rFonts w:ascii="Times New Roman" w:hAnsi="Times New Roman" w:eastAsia="宋体" w:cs="Times New Roman"/>
      <w:kern w:val="0"/>
      <w:sz w:val="28"/>
      <w:szCs w:val="20"/>
    </w:rPr>
  </w:style>
  <w:style w:type="paragraph" w:styleId="28">
    <w:name w:val="List 2"/>
    <w:basedOn w:val="1"/>
    <w:autoRedefine/>
    <w:unhideWhenUsed/>
    <w:qFormat/>
    <w:uiPriority w:val="0"/>
    <w:pPr>
      <w:ind w:left="100" w:leftChars="200" w:hanging="200" w:hangingChars="200"/>
      <w:contextualSpacing/>
    </w:pPr>
    <w:rPr>
      <w:rFonts w:ascii="Calibri" w:hAnsi="Calibri" w:eastAsia="宋体" w:cs="Times New Roman"/>
    </w:rPr>
  </w:style>
  <w:style w:type="paragraph" w:styleId="29">
    <w:name w:val="List Continue"/>
    <w:basedOn w:val="1"/>
    <w:qFormat/>
    <w:uiPriority w:val="0"/>
    <w:pPr>
      <w:spacing w:after="120"/>
      <w:ind w:left="420" w:leftChars="200"/>
    </w:pPr>
    <w:rPr>
      <w:rFonts w:ascii="Times New Roman" w:hAnsi="Times New Roman" w:eastAsia="宋体" w:cs="Times New Roman"/>
      <w:szCs w:val="24"/>
    </w:rPr>
  </w:style>
  <w:style w:type="paragraph" w:styleId="30">
    <w:name w:val="Block Text"/>
    <w:basedOn w:val="1"/>
    <w:qFormat/>
    <w:uiPriority w:val="0"/>
    <w:pPr>
      <w:widowControl/>
      <w:spacing w:line="500" w:lineRule="exact"/>
      <w:ind w:left="838" w:leftChars="349" w:right="397" w:firstLine="526" w:firstLineChars="188"/>
      <w:jc w:val="left"/>
    </w:pPr>
    <w:rPr>
      <w:rFonts w:ascii="Times New Roman" w:hAnsi="Times New Roman" w:eastAsia="宋体" w:cs="Times New Roman"/>
      <w:kern w:val="0"/>
      <w:sz w:val="28"/>
      <w:szCs w:val="24"/>
    </w:rPr>
  </w:style>
  <w:style w:type="paragraph" w:styleId="31">
    <w:name w:val="List Bullet 2"/>
    <w:basedOn w:val="1"/>
    <w:autoRedefine/>
    <w:qFormat/>
    <w:uiPriority w:val="0"/>
    <w:pPr>
      <w:tabs>
        <w:tab w:val="left" w:pos="780"/>
      </w:tabs>
      <w:ind w:left="780" w:leftChars="200" w:hanging="360" w:hangingChars="200"/>
    </w:pPr>
    <w:rPr>
      <w:rFonts w:ascii="Times New Roman" w:hAnsi="Times New Roman" w:eastAsia="宋体" w:cs="Times New Roman"/>
      <w:szCs w:val="24"/>
    </w:rPr>
  </w:style>
  <w:style w:type="paragraph" w:styleId="32">
    <w:name w:val="toc 5"/>
    <w:basedOn w:val="1"/>
    <w:next w:val="1"/>
    <w:qFormat/>
    <w:uiPriority w:val="39"/>
    <w:pPr>
      <w:ind w:left="840"/>
      <w:jc w:val="left"/>
    </w:pPr>
    <w:rPr>
      <w:rFonts w:ascii="Times New Roman" w:hAnsi="Times New Roman" w:eastAsia="宋体" w:cs="Times New Roman"/>
      <w:sz w:val="18"/>
      <w:szCs w:val="18"/>
    </w:rPr>
  </w:style>
  <w:style w:type="paragraph" w:styleId="33">
    <w:name w:val="toc 3"/>
    <w:basedOn w:val="1"/>
    <w:next w:val="1"/>
    <w:qFormat/>
    <w:uiPriority w:val="39"/>
    <w:pPr>
      <w:ind w:left="420"/>
      <w:jc w:val="left"/>
    </w:pPr>
    <w:rPr>
      <w:rFonts w:ascii="Times New Roman" w:hAnsi="Times New Roman" w:eastAsia="Arial" w:cs="Times New Roman"/>
      <w:iCs/>
      <w:sz w:val="24"/>
      <w:szCs w:val="20"/>
    </w:rPr>
  </w:style>
  <w:style w:type="paragraph" w:styleId="34">
    <w:name w:val="Plain Text"/>
    <w:basedOn w:val="1"/>
    <w:link w:val="102"/>
    <w:autoRedefine/>
    <w:qFormat/>
    <w:uiPriority w:val="0"/>
    <w:rPr>
      <w:rFonts w:ascii="宋体" w:hAnsi="Courier New" w:eastAsia="宋体" w:cs="Times New Roman"/>
      <w:szCs w:val="20"/>
    </w:rPr>
  </w:style>
  <w:style w:type="paragraph" w:styleId="35">
    <w:name w:val="List Bullet 5"/>
    <w:basedOn w:val="1"/>
    <w:qFormat/>
    <w:uiPriority w:val="0"/>
    <w:pPr>
      <w:tabs>
        <w:tab w:val="left" w:pos="2040"/>
      </w:tabs>
      <w:adjustRightInd w:val="0"/>
      <w:snapToGrid w:val="0"/>
      <w:spacing w:line="360" w:lineRule="auto"/>
      <w:ind w:left="2040" w:leftChars="800" w:hanging="360" w:hangingChars="200"/>
      <w:textAlignment w:val="baseline"/>
    </w:pPr>
    <w:rPr>
      <w:rFonts w:ascii="Times New Roman" w:hAnsi="Times New Roman" w:eastAsia="宋体" w:cs="Times New Roman"/>
      <w:kern w:val="0"/>
      <w:sz w:val="28"/>
      <w:szCs w:val="20"/>
    </w:rPr>
  </w:style>
  <w:style w:type="paragraph" w:styleId="36">
    <w:name w:val="List Number 4"/>
    <w:basedOn w:val="1"/>
    <w:qFormat/>
    <w:uiPriority w:val="0"/>
    <w:pPr>
      <w:tabs>
        <w:tab w:val="left" w:pos="1620"/>
      </w:tabs>
      <w:adjustRightInd w:val="0"/>
      <w:snapToGrid w:val="0"/>
      <w:spacing w:line="360" w:lineRule="auto"/>
      <w:ind w:left="1620" w:leftChars="600" w:hanging="360" w:hangingChars="200"/>
      <w:textAlignment w:val="baseline"/>
    </w:pPr>
    <w:rPr>
      <w:rFonts w:ascii="Times New Roman" w:hAnsi="Times New Roman" w:eastAsia="宋体" w:cs="Times New Roman"/>
      <w:kern w:val="0"/>
      <w:sz w:val="28"/>
      <w:szCs w:val="20"/>
    </w:rPr>
  </w:style>
  <w:style w:type="paragraph" w:styleId="37">
    <w:name w:val="toc 8"/>
    <w:basedOn w:val="1"/>
    <w:next w:val="1"/>
    <w:autoRedefine/>
    <w:qFormat/>
    <w:uiPriority w:val="39"/>
    <w:pPr>
      <w:ind w:left="1470"/>
      <w:jc w:val="left"/>
    </w:pPr>
    <w:rPr>
      <w:rFonts w:ascii="Times New Roman" w:hAnsi="Times New Roman" w:eastAsia="宋体" w:cs="Times New Roman"/>
      <w:sz w:val="18"/>
      <w:szCs w:val="18"/>
    </w:rPr>
  </w:style>
  <w:style w:type="paragraph" w:styleId="38">
    <w:name w:val="Date"/>
    <w:basedOn w:val="1"/>
    <w:next w:val="1"/>
    <w:link w:val="117"/>
    <w:qFormat/>
    <w:uiPriority w:val="0"/>
    <w:pPr>
      <w:widowControl/>
    </w:pPr>
    <w:rPr>
      <w:rFonts w:ascii="Times New Roman" w:hAnsi="Times New Roman" w:eastAsia="宋体" w:cs="Times New Roman"/>
      <w:kern w:val="0"/>
      <w:sz w:val="24"/>
      <w:szCs w:val="20"/>
    </w:rPr>
  </w:style>
  <w:style w:type="paragraph" w:styleId="39">
    <w:name w:val="Body Text Indent 2"/>
    <w:basedOn w:val="1"/>
    <w:link w:val="116"/>
    <w:qFormat/>
    <w:uiPriority w:val="0"/>
    <w:pPr>
      <w:spacing w:after="120" w:line="480" w:lineRule="auto"/>
      <w:ind w:left="420" w:leftChars="200"/>
    </w:pPr>
    <w:rPr>
      <w:rFonts w:ascii="Times New Roman" w:hAnsi="Times New Roman" w:eastAsia="宋体" w:cs="Times New Roman"/>
      <w:szCs w:val="24"/>
    </w:rPr>
  </w:style>
  <w:style w:type="paragraph" w:styleId="40">
    <w:name w:val="Balloon Text"/>
    <w:basedOn w:val="1"/>
    <w:link w:val="87"/>
    <w:autoRedefine/>
    <w:qFormat/>
    <w:uiPriority w:val="0"/>
    <w:pPr>
      <w:widowControl/>
      <w:spacing w:after="200" w:line="276" w:lineRule="auto"/>
      <w:jc w:val="left"/>
    </w:pPr>
    <w:rPr>
      <w:rFonts w:ascii="Calibri" w:hAnsi="Calibri" w:eastAsia="宋体" w:cs="Times New Roman"/>
      <w:kern w:val="0"/>
      <w:sz w:val="18"/>
      <w:szCs w:val="18"/>
      <w:lang w:eastAsia="en-US"/>
    </w:rPr>
  </w:style>
  <w:style w:type="paragraph" w:styleId="41">
    <w:name w:val="footer"/>
    <w:basedOn w:val="1"/>
    <w:link w:val="86"/>
    <w:qFormat/>
    <w:uiPriority w:val="99"/>
    <w:pPr>
      <w:tabs>
        <w:tab w:val="center" w:pos="4320"/>
        <w:tab w:val="right" w:pos="8640"/>
      </w:tabs>
    </w:pPr>
    <w:rPr>
      <w:rFonts w:ascii="Times New Roman" w:hAnsi="Times New Roman" w:eastAsia="宋体" w:cs="Times New Roman"/>
      <w:szCs w:val="24"/>
    </w:rPr>
  </w:style>
  <w:style w:type="paragraph" w:styleId="42">
    <w:name w:val="header"/>
    <w:basedOn w:val="1"/>
    <w:link w:val="85"/>
    <w:qFormat/>
    <w:uiPriority w:val="99"/>
    <w:pPr>
      <w:pBdr>
        <w:bottom w:val="single" w:color="auto" w:sz="4" w:space="1"/>
      </w:pBdr>
      <w:tabs>
        <w:tab w:val="center" w:pos="4320"/>
        <w:tab w:val="right" w:pos="8640"/>
      </w:tabs>
    </w:pPr>
    <w:rPr>
      <w:rFonts w:ascii="Times New Roman" w:hAnsi="Times New Roman" w:eastAsia="宋体" w:cs="Times New Roman"/>
      <w:szCs w:val="24"/>
    </w:rPr>
  </w:style>
  <w:style w:type="paragraph" w:styleId="43">
    <w:name w:val="toc 1"/>
    <w:basedOn w:val="1"/>
    <w:next w:val="1"/>
    <w:autoRedefine/>
    <w:qFormat/>
    <w:uiPriority w:val="39"/>
    <w:pPr>
      <w:tabs>
        <w:tab w:val="right" w:leader="dot" w:pos="9072"/>
      </w:tabs>
      <w:spacing w:before="120" w:after="120" w:line="360" w:lineRule="auto"/>
      <w:jc w:val="left"/>
    </w:pPr>
    <w:rPr>
      <w:rFonts w:ascii="Arial" w:hAnsi="Arial" w:eastAsia="楷体_GB2312" w:cs="Arial"/>
      <w:b/>
      <w:bCs/>
      <w:caps/>
      <w:sz w:val="28"/>
      <w:szCs w:val="28"/>
    </w:rPr>
  </w:style>
  <w:style w:type="paragraph" w:styleId="44">
    <w:name w:val="toc 4"/>
    <w:basedOn w:val="1"/>
    <w:next w:val="1"/>
    <w:qFormat/>
    <w:uiPriority w:val="39"/>
    <w:pPr>
      <w:ind w:left="630"/>
      <w:jc w:val="left"/>
    </w:pPr>
    <w:rPr>
      <w:rFonts w:ascii="Times New Roman" w:hAnsi="Times New Roman" w:eastAsia="宋体" w:cs="Times New Roman"/>
      <w:sz w:val="18"/>
      <w:szCs w:val="18"/>
    </w:rPr>
  </w:style>
  <w:style w:type="paragraph" w:styleId="45">
    <w:name w:val="Subtitle"/>
    <w:basedOn w:val="1"/>
    <w:next w:val="1"/>
    <w:link w:val="90"/>
    <w:qFormat/>
    <w:uiPriority w:val="0"/>
    <w:pPr>
      <w:widowControl/>
      <w:spacing w:after="200" w:line="276" w:lineRule="auto"/>
      <w:jc w:val="left"/>
    </w:pPr>
    <w:rPr>
      <w:rFonts w:ascii="Cambria" w:hAnsi="Cambria" w:eastAsia="宋体" w:cs="Times New Roman"/>
      <w:i/>
      <w:iCs/>
      <w:color w:val="4F81BD"/>
      <w:spacing w:val="15"/>
      <w:kern w:val="0"/>
      <w:sz w:val="24"/>
      <w:szCs w:val="24"/>
      <w:lang w:eastAsia="en-US"/>
    </w:rPr>
  </w:style>
  <w:style w:type="paragraph" w:styleId="46">
    <w:name w:val="List Number 5"/>
    <w:basedOn w:val="1"/>
    <w:autoRedefine/>
    <w:qFormat/>
    <w:uiPriority w:val="0"/>
    <w:pPr>
      <w:tabs>
        <w:tab w:val="left" w:pos="2040"/>
      </w:tabs>
      <w:adjustRightInd w:val="0"/>
      <w:snapToGrid w:val="0"/>
      <w:spacing w:line="360" w:lineRule="auto"/>
      <w:ind w:left="2040" w:leftChars="800" w:hanging="360" w:hangingChars="200"/>
      <w:textAlignment w:val="baseline"/>
    </w:pPr>
    <w:rPr>
      <w:rFonts w:ascii="Times New Roman" w:hAnsi="Times New Roman" w:eastAsia="宋体" w:cs="Times New Roman"/>
      <w:kern w:val="0"/>
      <w:sz w:val="28"/>
      <w:szCs w:val="20"/>
    </w:rPr>
  </w:style>
  <w:style w:type="paragraph" w:styleId="47">
    <w:name w:val="List"/>
    <w:basedOn w:val="1"/>
    <w:qFormat/>
    <w:uiPriority w:val="0"/>
    <w:pPr>
      <w:snapToGrid w:val="0"/>
      <w:jc w:val="center"/>
    </w:pPr>
    <w:rPr>
      <w:rFonts w:ascii="宋体" w:hAnsi="Times New Roman" w:eastAsia="宋体" w:cs="Times New Roman"/>
      <w:szCs w:val="20"/>
    </w:rPr>
  </w:style>
  <w:style w:type="paragraph" w:styleId="48">
    <w:name w:val="footnote text"/>
    <w:basedOn w:val="1"/>
    <w:link w:val="195"/>
    <w:qFormat/>
    <w:uiPriority w:val="0"/>
    <w:pPr>
      <w:snapToGrid w:val="0"/>
      <w:jc w:val="left"/>
    </w:pPr>
    <w:rPr>
      <w:rFonts w:ascii="Times New Roman" w:hAnsi="Times New Roman" w:eastAsia="宋体" w:cs="Times New Roman"/>
      <w:sz w:val="18"/>
      <w:szCs w:val="18"/>
    </w:rPr>
  </w:style>
  <w:style w:type="paragraph" w:styleId="49">
    <w:name w:val="toc 6"/>
    <w:basedOn w:val="1"/>
    <w:next w:val="1"/>
    <w:autoRedefine/>
    <w:qFormat/>
    <w:uiPriority w:val="39"/>
    <w:pPr>
      <w:ind w:left="1050"/>
      <w:jc w:val="left"/>
    </w:pPr>
    <w:rPr>
      <w:rFonts w:ascii="Times New Roman" w:hAnsi="Times New Roman" w:eastAsia="宋体" w:cs="Times New Roman"/>
      <w:sz w:val="18"/>
      <w:szCs w:val="18"/>
    </w:rPr>
  </w:style>
  <w:style w:type="paragraph" w:styleId="50">
    <w:name w:val="Body Text Indent 3"/>
    <w:basedOn w:val="1"/>
    <w:link w:val="122"/>
    <w:qFormat/>
    <w:uiPriority w:val="0"/>
    <w:pPr>
      <w:ind w:firstLine="570"/>
    </w:pPr>
    <w:rPr>
      <w:rFonts w:ascii="宋体" w:hAnsi="宋体" w:eastAsia="宋体" w:cs="Times New Roman"/>
      <w:sz w:val="28"/>
      <w:szCs w:val="20"/>
    </w:rPr>
  </w:style>
  <w:style w:type="paragraph" w:styleId="51">
    <w:name w:val="toc 2"/>
    <w:basedOn w:val="1"/>
    <w:next w:val="1"/>
    <w:qFormat/>
    <w:uiPriority w:val="39"/>
    <w:pPr>
      <w:tabs>
        <w:tab w:val="right" w:leader="dot" w:pos="9072"/>
      </w:tabs>
      <w:spacing w:line="360" w:lineRule="auto"/>
      <w:ind w:left="210"/>
      <w:jc w:val="left"/>
    </w:pPr>
    <w:rPr>
      <w:rFonts w:ascii="Arial" w:hAnsi="Arial" w:eastAsia="楷体_GB2312" w:cs="Arial"/>
      <w:bCs/>
      <w:caps/>
      <w:sz w:val="24"/>
      <w:szCs w:val="20"/>
    </w:rPr>
  </w:style>
  <w:style w:type="paragraph" w:styleId="52">
    <w:name w:val="toc 9"/>
    <w:basedOn w:val="1"/>
    <w:next w:val="1"/>
    <w:autoRedefine/>
    <w:qFormat/>
    <w:uiPriority w:val="39"/>
    <w:pPr>
      <w:ind w:left="1680"/>
      <w:jc w:val="left"/>
    </w:pPr>
    <w:rPr>
      <w:rFonts w:ascii="Times New Roman" w:hAnsi="Times New Roman" w:eastAsia="宋体" w:cs="Times New Roman"/>
      <w:sz w:val="18"/>
      <w:szCs w:val="18"/>
    </w:rPr>
  </w:style>
  <w:style w:type="paragraph" w:styleId="53">
    <w:name w:val="Body Text 2"/>
    <w:basedOn w:val="1"/>
    <w:link w:val="170"/>
    <w:qFormat/>
    <w:uiPriority w:val="0"/>
    <w:pPr>
      <w:spacing w:after="120" w:line="480" w:lineRule="auto"/>
    </w:pPr>
    <w:rPr>
      <w:rFonts w:ascii="Times New Roman" w:hAnsi="Times New Roman" w:eastAsia="宋体" w:cs="Times New Roman"/>
      <w:szCs w:val="24"/>
    </w:rPr>
  </w:style>
  <w:style w:type="paragraph" w:styleId="54">
    <w:name w:val="List Continue 2"/>
    <w:basedOn w:val="1"/>
    <w:qFormat/>
    <w:uiPriority w:val="0"/>
    <w:pPr>
      <w:spacing w:after="120"/>
      <w:ind w:left="840" w:leftChars="400"/>
    </w:pPr>
    <w:rPr>
      <w:rFonts w:ascii="Times New Roman" w:hAnsi="Times New Roman" w:eastAsia="宋体" w:cs="Times New Roman"/>
      <w:szCs w:val="24"/>
    </w:rPr>
  </w:style>
  <w:style w:type="paragraph" w:styleId="55">
    <w:name w:val="Message Header"/>
    <w:basedOn w:val="1"/>
    <w:link w:val="766"/>
    <w:autoRedefine/>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56">
    <w:name w:val="HTML Preformatted"/>
    <w:basedOn w:val="1"/>
    <w:link w:val="1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57">
    <w:name w:val="Normal (Web)"/>
    <w:basedOn w:val="1"/>
    <w:link w:val="284"/>
    <w:qFormat/>
    <w:uiPriority w:val="99"/>
    <w:pPr>
      <w:widowControl/>
      <w:spacing w:before="100" w:beforeAutospacing="1" w:after="100" w:afterAutospacing="1"/>
      <w:jc w:val="left"/>
    </w:pPr>
    <w:rPr>
      <w:rFonts w:hint="eastAsia" w:ascii="宋体" w:hAnsi="宋体" w:eastAsia="宋体" w:cs="Times New Roman"/>
      <w:color w:val="000000"/>
      <w:kern w:val="0"/>
      <w:sz w:val="30"/>
      <w:szCs w:val="30"/>
    </w:rPr>
  </w:style>
  <w:style w:type="paragraph" w:styleId="58">
    <w:name w:val="index 1"/>
    <w:basedOn w:val="1"/>
    <w:next w:val="1"/>
    <w:semiHidden/>
    <w:qFormat/>
    <w:uiPriority w:val="0"/>
    <w:pPr>
      <w:widowControl/>
      <w:snapToGrid w:val="0"/>
      <w:ind w:left="-53" w:leftChars="-25" w:right="-1"/>
      <w:jc w:val="center"/>
    </w:pPr>
    <w:rPr>
      <w:rFonts w:ascii="Times New Roman" w:hAnsi="Times New Roman" w:eastAsia="宋体" w:cs="Times New Roman"/>
      <w:kern w:val="0"/>
      <w:szCs w:val="21"/>
    </w:rPr>
  </w:style>
  <w:style w:type="paragraph" w:styleId="59">
    <w:name w:val="annotation subject"/>
    <w:basedOn w:val="22"/>
    <w:next w:val="22"/>
    <w:link w:val="491"/>
    <w:semiHidden/>
    <w:unhideWhenUsed/>
    <w:qFormat/>
    <w:uiPriority w:val="99"/>
    <w:rPr>
      <w:rFonts w:ascii="Arial" w:hAnsi="Arial" w:eastAsia="宋体" w:cs="Times New Roman"/>
      <w:b/>
      <w:bCs/>
      <w:lang w:eastAsia="en-US"/>
    </w:rPr>
  </w:style>
  <w:style w:type="paragraph" w:styleId="60">
    <w:name w:val="Body Text First Indent"/>
    <w:basedOn w:val="25"/>
    <w:link w:val="164"/>
    <w:qFormat/>
    <w:uiPriority w:val="0"/>
    <w:pPr>
      <w:spacing w:after="120" w:line="240" w:lineRule="auto"/>
      <w:ind w:firstLine="420" w:firstLineChars="100"/>
      <w:jc w:val="both"/>
    </w:pPr>
    <w:rPr>
      <w:sz w:val="21"/>
      <w:szCs w:val="24"/>
    </w:rPr>
  </w:style>
  <w:style w:type="paragraph" w:styleId="61">
    <w:name w:val="Body Text First Indent 2"/>
    <w:basedOn w:val="1"/>
    <w:link w:val="542"/>
    <w:qFormat/>
    <w:uiPriority w:val="0"/>
    <w:pPr>
      <w:spacing w:after="120"/>
      <w:ind w:left="420" w:leftChars="200" w:firstLine="420" w:firstLineChars="200"/>
    </w:pPr>
    <w:rPr>
      <w:rFonts w:ascii="Times New Roman" w:hAnsi="Times New Roman" w:eastAsia="楷体_GB2312" w:cs="Times New Roman"/>
      <w:szCs w:val="24"/>
    </w:rPr>
  </w:style>
  <w:style w:type="table" w:styleId="63">
    <w:name w:val="Table Grid"/>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4">
    <w:name w:val="Table Professional"/>
    <w:basedOn w:val="62"/>
    <w:semiHidden/>
    <w:qFormat/>
    <w:uiPriority w:val="0"/>
    <w:pPr>
      <w:widowControl w:val="0"/>
      <w:spacing w:line="360" w:lineRule="auto"/>
      <w:ind w:firstLine="20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66">
    <w:name w:val="Strong"/>
    <w:basedOn w:val="65"/>
    <w:qFormat/>
    <w:uiPriority w:val="22"/>
    <w:rPr>
      <w:rFonts w:cs="Times New Roman"/>
      <w:b/>
      <w:bCs/>
    </w:rPr>
  </w:style>
  <w:style w:type="character" w:styleId="67">
    <w:name w:val="page number"/>
    <w:basedOn w:val="65"/>
    <w:qFormat/>
    <w:uiPriority w:val="0"/>
  </w:style>
  <w:style w:type="character" w:styleId="68">
    <w:name w:val="FollowedHyperlink"/>
    <w:basedOn w:val="65"/>
    <w:qFormat/>
    <w:uiPriority w:val="99"/>
    <w:rPr>
      <w:color w:val="800080"/>
      <w:u w:val="single"/>
    </w:rPr>
  </w:style>
  <w:style w:type="character" w:styleId="69">
    <w:name w:val="Emphasis"/>
    <w:basedOn w:val="65"/>
    <w:qFormat/>
    <w:uiPriority w:val="0"/>
    <w:rPr>
      <w:rFonts w:cs="Times New Roman"/>
      <w:i/>
      <w:iCs/>
    </w:rPr>
  </w:style>
  <w:style w:type="character" w:styleId="70">
    <w:name w:val="line number"/>
    <w:basedOn w:val="65"/>
    <w:qFormat/>
    <w:uiPriority w:val="0"/>
  </w:style>
  <w:style w:type="character" w:styleId="71">
    <w:name w:val="Hyperlink"/>
    <w:basedOn w:val="65"/>
    <w:qFormat/>
    <w:uiPriority w:val="99"/>
    <w:rPr>
      <w:color w:val="0000FF"/>
      <w:u w:val="single"/>
    </w:rPr>
  </w:style>
  <w:style w:type="character" w:styleId="72">
    <w:name w:val="annotation reference"/>
    <w:semiHidden/>
    <w:unhideWhenUsed/>
    <w:qFormat/>
    <w:uiPriority w:val="99"/>
    <w:rPr>
      <w:sz w:val="21"/>
      <w:szCs w:val="21"/>
    </w:rPr>
  </w:style>
  <w:style w:type="character" w:styleId="73">
    <w:name w:val="footnote reference"/>
    <w:basedOn w:val="65"/>
    <w:qFormat/>
    <w:uiPriority w:val="0"/>
    <w:rPr>
      <w:rFonts w:ascii="楷体_GB2312" w:hAnsi="楷体_GB2312" w:eastAsia="楷体_GB2312"/>
      <w:b/>
      <w:bCs/>
      <w:kern w:val="44"/>
      <w:sz w:val="30"/>
      <w:szCs w:val="44"/>
      <w:vertAlign w:val="superscript"/>
      <w:lang w:val="en-US" w:eastAsia="zh-CN" w:bidi="ar-SA"/>
    </w:rPr>
  </w:style>
  <w:style w:type="character" w:customStyle="1" w:styleId="74">
    <w:name w:val="标题 1 字符"/>
    <w:basedOn w:val="65"/>
    <w:link w:val="2"/>
    <w:qFormat/>
    <w:uiPriority w:val="0"/>
    <w:rPr>
      <w:rFonts w:ascii="Times New Roman" w:hAnsi="Times New Roman" w:eastAsia="楷体_GB2312" w:cs="Times New Roman"/>
      <w:b/>
      <w:color w:val="17365D"/>
      <w:spacing w:val="5"/>
      <w:kern w:val="28"/>
      <w:sz w:val="36"/>
      <w:szCs w:val="36"/>
    </w:rPr>
  </w:style>
  <w:style w:type="character" w:customStyle="1" w:styleId="75">
    <w:name w:val="标题 2 Char"/>
    <w:basedOn w:val="65"/>
    <w:qFormat/>
    <w:uiPriority w:val="0"/>
    <w:rPr>
      <w:rFonts w:asciiTheme="majorHAnsi" w:hAnsiTheme="majorHAnsi" w:eastAsiaTheme="majorEastAsia" w:cstheme="majorBidi"/>
      <w:b/>
      <w:bCs/>
      <w:sz w:val="32"/>
      <w:szCs w:val="32"/>
    </w:rPr>
  </w:style>
  <w:style w:type="character" w:customStyle="1" w:styleId="76">
    <w:name w:val="标题 3 字符"/>
    <w:basedOn w:val="65"/>
    <w:link w:val="5"/>
    <w:qFormat/>
    <w:uiPriority w:val="0"/>
    <w:rPr>
      <w:rFonts w:ascii="Times New Roman" w:hAnsi="Times New Roman" w:eastAsia="楷体_GB2312" w:cs="Times New Roman"/>
      <w:b/>
      <w:color w:val="1F497D"/>
      <w:spacing w:val="10"/>
      <w:kern w:val="28"/>
      <w:sz w:val="30"/>
      <w:szCs w:val="30"/>
    </w:rPr>
  </w:style>
  <w:style w:type="character" w:customStyle="1" w:styleId="77">
    <w:name w:val="标题 4 字符"/>
    <w:basedOn w:val="65"/>
    <w:link w:val="6"/>
    <w:qFormat/>
    <w:uiPriority w:val="0"/>
    <w:rPr>
      <w:rFonts w:ascii="Cambria" w:hAnsi="Cambria" w:eastAsia="宋体" w:cs="Times New Roman"/>
      <w:b/>
      <w:bCs/>
      <w:i/>
      <w:iCs/>
      <w:color w:val="4F81BD"/>
      <w:kern w:val="0"/>
      <w:sz w:val="22"/>
      <w:lang w:eastAsia="en-US"/>
    </w:rPr>
  </w:style>
  <w:style w:type="character" w:customStyle="1" w:styleId="78">
    <w:name w:val="标题 5 字符"/>
    <w:basedOn w:val="65"/>
    <w:link w:val="7"/>
    <w:qFormat/>
    <w:uiPriority w:val="0"/>
    <w:rPr>
      <w:rFonts w:ascii="Cambria" w:hAnsi="Cambria" w:eastAsia="宋体" w:cs="Times New Roman"/>
      <w:color w:val="243F60"/>
      <w:kern w:val="0"/>
      <w:sz w:val="22"/>
      <w:lang w:eastAsia="en-US"/>
    </w:rPr>
  </w:style>
  <w:style w:type="character" w:customStyle="1" w:styleId="79">
    <w:name w:val="标题 6 字符"/>
    <w:basedOn w:val="65"/>
    <w:link w:val="8"/>
    <w:qFormat/>
    <w:uiPriority w:val="0"/>
    <w:rPr>
      <w:rFonts w:ascii="Cambria" w:hAnsi="Cambria" w:eastAsia="宋体" w:cs="Times New Roman"/>
      <w:i/>
      <w:iCs/>
      <w:color w:val="243F60"/>
      <w:kern w:val="0"/>
      <w:sz w:val="22"/>
      <w:lang w:eastAsia="en-US"/>
    </w:rPr>
  </w:style>
  <w:style w:type="character" w:customStyle="1" w:styleId="80">
    <w:name w:val="标题 7 字符"/>
    <w:basedOn w:val="65"/>
    <w:link w:val="9"/>
    <w:qFormat/>
    <w:uiPriority w:val="0"/>
    <w:rPr>
      <w:rFonts w:ascii="Cambria" w:hAnsi="Cambria" w:eastAsia="宋体" w:cs="Times New Roman"/>
      <w:i/>
      <w:iCs/>
      <w:color w:val="404040"/>
      <w:kern w:val="0"/>
      <w:sz w:val="22"/>
      <w:lang w:eastAsia="en-US"/>
    </w:rPr>
  </w:style>
  <w:style w:type="character" w:customStyle="1" w:styleId="81">
    <w:name w:val="标题 8 字符"/>
    <w:basedOn w:val="65"/>
    <w:link w:val="10"/>
    <w:qFormat/>
    <w:uiPriority w:val="0"/>
    <w:rPr>
      <w:rFonts w:ascii="Cambria" w:hAnsi="Cambria" w:eastAsia="宋体" w:cs="Times New Roman"/>
      <w:color w:val="4F81BD"/>
      <w:kern w:val="0"/>
      <w:sz w:val="20"/>
      <w:szCs w:val="20"/>
      <w:lang w:eastAsia="en-US"/>
    </w:rPr>
  </w:style>
  <w:style w:type="character" w:customStyle="1" w:styleId="82">
    <w:name w:val="标题 9 字符"/>
    <w:basedOn w:val="65"/>
    <w:link w:val="11"/>
    <w:qFormat/>
    <w:uiPriority w:val="0"/>
    <w:rPr>
      <w:rFonts w:ascii="Cambria" w:hAnsi="Cambria" w:eastAsia="宋体" w:cs="Times New Roman"/>
      <w:i/>
      <w:iCs/>
      <w:color w:val="404040"/>
      <w:kern w:val="0"/>
      <w:sz w:val="20"/>
      <w:szCs w:val="20"/>
      <w:lang w:eastAsia="en-US"/>
    </w:rPr>
  </w:style>
  <w:style w:type="character" w:customStyle="1" w:styleId="83">
    <w:name w:val="标题 2 字符"/>
    <w:basedOn w:val="65"/>
    <w:link w:val="4"/>
    <w:qFormat/>
    <w:locked/>
    <w:uiPriority w:val="0"/>
    <w:rPr>
      <w:rFonts w:ascii="Times New Roman" w:hAnsi="Times New Roman" w:eastAsia="楷体_GB2312" w:cs="Times New Roman"/>
      <w:b/>
      <w:spacing w:val="10"/>
      <w:kern w:val="28"/>
      <w:sz w:val="32"/>
      <w:szCs w:val="32"/>
    </w:rPr>
  </w:style>
  <w:style w:type="paragraph" w:customStyle="1" w:styleId="84">
    <w:name w:val="Char Char Char Char Char Char Char Char Char Char Char Char Char"/>
    <w:basedOn w:val="1"/>
    <w:autoRedefine/>
    <w:qFormat/>
    <w:uiPriority w:val="0"/>
    <w:rPr>
      <w:rFonts w:ascii="Tahoma" w:hAnsi="Tahoma" w:eastAsia="宋体" w:cs="Times New Roman"/>
      <w:sz w:val="24"/>
      <w:szCs w:val="20"/>
    </w:rPr>
  </w:style>
  <w:style w:type="character" w:customStyle="1" w:styleId="85">
    <w:name w:val="页眉 字符"/>
    <w:basedOn w:val="65"/>
    <w:link w:val="42"/>
    <w:qFormat/>
    <w:uiPriority w:val="99"/>
    <w:rPr>
      <w:rFonts w:ascii="Times New Roman" w:hAnsi="Times New Roman" w:eastAsia="宋体" w:cs="Times New Roman"/>
      <w:szCs w:val="24"/>
    </w:rPr>
  </w:style>
  <w:style w:type="character" w:customStyle="1" w:styleId="86">
    <w:name w:val="页脚 字符"/>
    <w:basedOn w:val="65"/>
    <w:link w:val="41"/>
    <w:qFormat/>
    <w:uiPriority w:val="99"/>
    <w:rPr>
      <w:rFonts w:ascii="Times New Roman" w:hAnsi="Times New Roman" w:eastAsia="宋体" w:cs="Times New Roman"/>
      <w:szCs w:val="24"/>
    </w:rPr>
  </w:style>
  <w:style w:type="character" w:customStyle="1" w:styleId="87">
    <w:name w:val="批注框文本 字符"/>
    <w:basedOn w:val="65"/>
    <w:link w:val="40"/>
    <w:qFormat/>
    <w:uiPriority w:val="0"/>
    <w:rPr>
      <w:rFonts w:ascii="Calibri" w:hAnsi="Calibri" w:eastAsia="宋体" w:cs="Times New Roman"/>
      <w:kern w:val="0"/>
      <w:sz w:val="18"/>
      <w:szCs w:val="18"/>
      <w:lang w:eastAsia="en-US"/>
    </w:rPr>
  </w:style>
  <w:style w:type="character" w:customStyle="1" w:styleId="88">
    <w:name w:val="标题 Char"/>
    <w:basedOn w:val="65"/>
    <w:qFormat/>
    <w:uiPriority w:val="0"/>
    <w:rPr>
      <w:rFonts w:eastAsia="宋体" w:asciiTheme="majorHAnsi" w:hAnsiTheme="majorHAnsi" w:cstheme="majorBidi"/>
      <w:b/>
      <w:bCs/>
      <w:sz w:val="32"/>
      <w:szCs w:val="32"/>
    </w:rPr>
  </w:style>
  <w:style w:type="character" w:customStyle="1" w:styleId="89">
    <w:name w:val="标题 字符"/>
    <w:basedOn w:val="65"/>
    <w:link w:val="3"/>
    <w:qFormat/>
    <w:locked/>
    <w:uiPriority w:val="0"/>
    <w:rPr>
      <w:rFonts w:ascii="Times New Roman" w:hAnsi="Times New Roman" w:eastAsia="楷体_GB2312" w:cs="Times New Roman"/>
      <w:b/>
      <w:color w:val="17365D"/>
      <w:spacing w:val="5"/>
      <w:kern w:val="28"/>
      <w:sz w:val="36"/>
      <w:szCs w:val="36"/>
    </w:rPr>
  </w:style>
  <w:style w:type="character" w:customStyle="1" w:styleId="90">
    <w:name w:val="副标题 字符"/>
    <w:basedOn w:val="65"/>
    <w:link w:val="45"/>
    <w:qFormat/>
    <w:uiPriority w:val="0"/>
    <w:rPr>
      <w:rFonts w:ascii="Cambria" w:hAnsi="Cambria" w:eastAsia="宋体" w:cs="Times New Roman"/>
      <w:i/>
      <w:iCs/>
      <w:color w:val="4F81BD"/>
      <w:spacing w:val="15"/>
      <w:kern w:val="0"/>
      <w:sz w:val="24"/>
      <w:szCs w:val="24"/>
      <w:lang w:eastAsia="en-US"/>
    </w:rPr>
  </w:style>
  <w:style w:type="paragraph" w:customStyle="1" w:styleId="91">
    <w:name w:val="无间隔1"/>
    <w:semiHidden/>
    <w:qFormat/>
    <w:uiPriority w:val="0"/>
    <w:rPr>
      <w:rFonts w:ascii="Calibri" w:hAnsi="Calibri" w:eastAsia="宋体" w:cs="Times New Roman"/>
      <w:sz w:val="22"/>
      <w:szCs w:val="22"/>
      <w:lang w:val="en-US" w:eastAsia="en-US" w:bidi="ar-SA"/>
    </w:rPr>
  </w:style>
  <w:style w:type="paragraph" w:customStyle="1" w:styleId="92">
    <w:name w:val="列出段落1"/>
    <w:basedOn w:val="1"/>
    <w:qFormat/>
    <w:uiPriority w:val="0"/>
    <w:pPr>
      <w:widowControl/>
      <w:spacing w:after="200" w:line="276" w:lineRule="auto"/>
      <w:ind w:left="720"/>
      <w:contextualSpacing/>
      <w:jc w:val="left"/>
    </w:pPr>
    <w:rPr>
      <w:rFonts w:ascii="Calibri" w:hAnsi="Calibri" w:eastAsia="宋体" w:cs="Times New Roman"/>
      <w:kern w:val="0"/>
      <w:sz w:val="22"/>
      <w:lang w:eastAsia="en-US"/>
    </w:rPr>
  </w:style>
  <w:style w:type="paragraph" w:customStyle="1" w:styleId="93">
    <w:name w:val="引用1"/>
    <w:basedOn w:val="1"/>
    <w:next w:val="1"/>
    <w:link w:val="94"/>
    <w:semiHidden/>
    <w:qFormat/>
    <w:uiPriority w:val="0"/>
    <w:pPr>
      <w:widowControl/>
      <w:spacing w:after="200" w:line="276" w:lineRule="auto"/>
      <w:jc w:val="left"/>
    </w:pPr>
    <w:rPr>
      <w:rFonts w:ascii="Calibri" w:hAnsi="Calibri" w:eastAsia="宋体" w:cs="Times New Roman"/>
      <w:i/>
      <w:iCs/>
      <w:color w:val="000000"/>
      <w:kern w:val="0"/>
      <w:sz w:val="22"/>
      <w:lang w:eastAsia="en-US"/>
    </w:rPr>
  </w:style>
  <w:style w:type="character" w:customStyle="1" w:styleId="94">
    <w:name w:val="Quote Char"/>
    <w:basedOn w:val="65"/>
    <w:link w:val="93"/>
    <w:semiHidden/>
    <w:qFormat/>
    <w:locked/>
    <w:uiPriority w:val="0"/>
    <w:rPr>
      <w:rFonts w:ascii="Calibri" w:hAnsi="Calibri" w:eastAsia="宋体" w:cs="Times New Roman"/>
      <w:i/>
      <w:iCs/>
      <w:color w:val="000000"/>
      <w:kern w:val="0"/>
      <w:sz w:val="22"/>
      <w:lang w:eastAsia="en-US"/>
    </w:rPr>
  </w:style>
  <w:style w:type="paragraph" w:customStyle="1" w:styleId="95">
    <w:name w:val="明显引用1"/>
    <w:basedOn w:val="1"/>
    <w:next w:val="1"/>
    <w:link w:val="96"/>
    <w:semiHidden/>
    <w:qFormat/>
    <w:uiPriority w:val="0"/>
    <w:pPr>
      <w:widowControl/>
      <w:pBdr>
        <w:bottom w:val="single" w:color="4F81BD" w:sz="4" w:space="4"/>
      </w:pBdr>
      <w:spacing w:before="200" w:after="280" w:line="276" w:lineRule="auto"/>
      <w:ind w:left="936" w:right="936"/>
      <w:jc w:val="left"/>
    </w:pPr>
    <w:rPr>
      <w:rFonts w:ascii="Calibri" w:hAnsi="Calibri" w:eastAsia="宋体" w:cs="Times New Roman"/>
      <w:b/>
      <w:bCs/>
      <w:i/>
      <w:iCs/>
      <w:color w:val="4F81BD"/>
      <w:kern w:val="0"/>
      <w:sz w:val="22"/>
      <w:lang w:eastAsia="en-US"/>
    </w:rPr>
  </w:style>
  <w:style w:type="character" w:customStyle="1" w:styleId="96">
    <w:name w:val="Intense Quote Char"/>
    <w:basedOn w:val="65"/>
    <w:link w:val="95"/>
    <w:semiHidden/>
    <w:qFormat/>
    <w:locked/>
    <w:uiPriority w:val="0"/>
    <w:rPr>
      <w:rFonts w:ascii="Calibri" w:hAnsi="Calibri" w:eastAsia="宋体" w:cs="Times New Roman"/>
      <w:b/>
      <w:bCs/>
      <w:i/>
      <w:iCs/>
      <w:color w:val="4F81BD"/>
      <w:kern w:val="0"/>
      <w:sz w:val="22"/>
      <w:lang w:eastAsia="en-US"/>
    </w:rPr>
  </w:style>
  <w:style w:type="character" w:customStyle="1" w:styleId="97">
    <w:name w:val="不明显强调1"/>
    <w:basedOn w:val="65"/>
    <w:semiHidden/>
    <w:qFormat/>
    <w:uiPriority w:val="0"/>
    <w:rPr>
      <w:rFonts w:cs="Times New Roman"/>
      <w:i/>
      <w:iCs/>
      <w:color w:val="808080"/>
    </w:rPr>
  </w:style>
  <w:style w:type="character" w:customStyle="1" w:styleId="98">
    <w:name w:val="明显强调1"/>
    <w:basedOn w:val="65"/>
    <w:semiHidden/>
    <w:qFormat/>
    <w:uiPriority w:val="0"/>
    <w:rPr>
      <w:rFonts w:cs="Times New Roman"/>
      <w:b/>
      <w:bCs/>
      <w:i/>
      <w:iCs/>
      <w:color w:val="4F81BD"/>
    </w:rPr>
  </w:style>
  <w:style w:type="character" w:customStyle="1" w:styleId="99">
    <w:name w:val="不明显参考1"/>
    <w:basedOn w:val="65"/>
    <w:semiHidden/>
    <w:qFormat/>
    <w:uiPriority w:val="0"/>
    <w:rPr>
      <w:rFonts w:cs="Times New Roman"/>
      <w:smallCaps/>
      <w:color w:val="C0504D"/>
      <w:u w:val="single"/>
    </w:rPr>
  </w:style>
  <w:style w:type="character" w:customStyle="1" w:styleId="100">
    <w:name w:val="明显参考1"/>
    <w:basedOn w:val="65"/>
    <w:semiHidden/>
    <w:qFormat/>
    <w:uiPriority w:val="0"/>
    <w:rPr>
      <w:rFonts w:cs="Times New Roman"/>
      <w:b/>
      <w:bCs/>
      <w:smallCaps/>
      <w:color w:val="C0504D"/>
      <w:spacing w:val="5"/>
      <w:u w:val="single"/>
    </w:rPr>
  </w:style>
  <w:style w:type="character" w:customStyle="1" w:styleId="101">
    <w:name w:val="书籍标题1"/>
    <w:basedOn w:val="65"/>
    <w:semiHidden/>
    <w:qFormat/>
    <w:uiPriority w:val="0"/>
    <w:rPr>
      <w:rFonts w:cs="Times New Roman"/>
      <w:b/>
      <w:bCs/>
      <w:smallCaps/>
      <w:spacing w:val="5"/>
    </w:rPr>
  </w:style>
  <w:style w:type="character" w:customStyle="1" w:styleId="102">
    <w:name w:val="纯文本 字符"/>
    <w:basedOn w:val="65"/>
    <w:link w:val="34"/>
    <w:qFormat/>
    <w:uiPriority w:val="0"/>
    <w:rPr>
      <w:rFonts w:ascii="宋体" w:hAnsi="Courier New" w:eastAsia="宋体" w:cs="Times New Roman"/>
      <w:szCs w:val="20"/>
    </w:rPr>
  </w:style>
  <w:style w:type="paragraph" w:customStyle="1" w:styleId="103">
    <w:name w:val="样式 标题 2 + 首行缩进:  0.95 厘米 段前: 6 磅 段后: 6 磅 行距: 1.5 倍行距"/>
    <w:basedOn w:val="4"/>
    <w:semiHidden/>
    <w:qFormat/>
    <w:uiPriority w:val="0"/>
    <w:pPr>
      <w:spacing w:after="120"/>
      <w:ind w:firstLine="539"/>
    </w:pPr>
    <w:rPr>
      <w:rFonts w:cs="宋体"/>
      <w:szCs w:val="20"/>
    </w:rPr>
  </w:style>
  <w:style w:type="paragraph" w:customStyle="1" w:styleId="104">
    <w:name w:val="样式 标题 3 + 首行缩进:  0.95 厘米 段前: 6 磅 段后: 6 磅 行距: 1.5 倍行距"/>
    <w:basedOn w:val="5"/>
    <w:next w:val="5"/>
    <w:semiHidden/>
    <w:qFormat/>
    <w:uiPriority w:val="0"/>
    <w:pPr>
      <w:spacing w:after="120"/>
      <w:ind w:firstLine="539"/>
    </w:pPr>
    <w:rPr>
      <w:rFonts w:cs="宋体"/>
      <w:szCs w:val="20"/>
    </w:rPr>
  </w:style>
  <w:style w:type="character" w:customStyle="1" w:styleId="105">
    <w:name w:val="正文文本 字符"/>
    <w:basedOn w:val="65"/>
    <w:link w:val="25"/>
    <w:qFormat/>
    <w:uiPriority w:val="0"/>
    <w:rPr>
      <w:rFonts w:ascii="Times New Roman" w:hAnsi="Times New Roman" w:eastAsia="宋体" w:cs="Times New Roman"/>
      <w:sz w:val="24"/>
      <w:szCs w:val="20"/>
    </w:rPr>
  </w:style>
  <w:style w:type="paragraph" w:customStyle="1" w:styleId="106">
    <w:name w:val="Char Char Char Char"/>
    <w:basedOn w:val="1"/>
    <w:qFormat/>
    <w:uiPriority w:val="0"/>
    <w:rPr>
      <w:rFonts w:ascii="Times New Roman" w:hAnsi="Times New Roman" w:eastAsia="宋体" w:cs="Times New Roman"/>
      <w:szCs w:val="21"/>
    </w:rPr>
  </w:style>
  <w:style w:type="paragraph" w:customStyle="1" w:styleId="107">
    <w:name w:val="样式1"/>
    <w:basedOn w:val="42"/>
    <w:link w:val="518"/>
    <w:qFormat/>
    <w:uiPriority w:val="0"/>
    <w:pPr>
      <w:ind w:firstLine="203" w:firstLineChars="100"/>
    </w:pPr>
    <w:rPr>
      <w:rFonts w:ascii="Arial" w:hAnsi="Arial" w:eastAsia="黑体" w:cs="Arial"/>
      <w:b/>
      <w:spacing w:val="26"/>
      <w:sz w:val="15"/>
      <w:szCs w:val="30"/>
    </w:rPr>
  </w:style>
  <w:style w:type="paragraph" w:customStyle="1" w:styleId="108">
    <w:name w:val="样式2"/>
    <w:basedOn w:val="42"/>
    <w:qFormat/>
    <w:uiPriority w:val="0"/>
    <w:pPr>
      <w:ind w:firstLine="1687" w:firstLineChars="700"/>
    </w:pPr>
    <w:rPr>
      <w:rFonts w:eastAsia="楷体_GB2312"/>
      <w:b/>
      <w:color w:val="000000"/>
      <w:sz w:val="24"/>
      <w:szCs w:val="21"/>
    </w:rPr>
  </w:style>
  <w:style w:type="paragraph" w:customStyle="1" w:styleId="109">
    <w:name w:val="样式3"/>
    <w:basedOn w:val="42"/>
    <w:qFormat/>
    <w:uiPriority w:val="0"/>
    <w:pPr>
      <w:ind w:firstLine="203" w:firstLineChars="100"/>
    </w:pPr>
    <w:rPr>
      <w:rFonts w:ascii="Arial" w:hAnsi="Arial" w:eastAsia="黑体" w:cs="Arial"/>
      <w:b/>
      <w:spacing w:val="26"/>
      <w:sz w:val="15"/>
      <w:szCs w:val="30"/>
    </w:rPr>
  </w:style>
  <w:style w:type="paragraph" w:customStyle="1" w:styleId="110">
    <w:name w:val="Char Char Char Char Char Char Char"/>
    <w:basedOn w:val="1"/>
    <w:qFormat/>
    <w:uiPriority w:val="0"/>
    <w:rPr>
      <w:rFonts w:ascii="Times New Roman" w:hAnsi="Times New Roman" w:eastAsia="宋体" w:cs="Times New Roman"/>
      <w:szCs w:val="20"/>
    </w:rPr>
  </w:style>
  <w:style w:type="paragraph" w:customStyle="1" w:styleId="111">
    <w:name w:val="表格标题"/>
    <w:basedOn w:val="1"/>
    <w:qFormat/>
    <w:uiPriority w:val="0"/>
    <w:pPr>
      <w:tabs>
        <w:tab w:val="left" w:pos="567"/>
      </w:tabs>
      <w:spacing w:line="360" w:lineRule="auto"/>
      <w:jc w:val="center"/>
    </w:pPr>
    <w:rPr>
      <w:rFonts w:ascii="Times New Roman" w:hAnsi="Times New Roman" w:eastAsia="华文中宋" w:cs="Times New Roman"/>
      <w:spacing w:val="20"/>
      <w:sz w:val="24"/>
      <w:szCs w:val="20"/>
    </w:rPr>
  </w:style>
  <w:style w:type="paragraph" w:customStyle="1" w:styleId="112">
    <w:name w:val="表格内容（中文）"/>
    <w:semiHidden/>
    <w:qFormat/>
    <w:uiPriority w:val="0"/>
    <w:pPr>
      <w:widowControl w:val="0"/>
      <w:adjustRightInd w:val="0"/>
      <w:spacing w:line="380" w:lineRule="atLeast"/>
      <w:ind w:left="113"/>
      <w:textAlignment w:val="baseline"/>
    </w:pPr>
    <w:rPr>
      <w:rFonts w:ascii="Times New Roman" w:hAnsi="Times New Roman" w:eastAsia="楷体_GB2312" w:cs="Times New Roman"/>
      <w:sz w:val="21"/>
      <w:lang w:val="en-US" w:eastAsia="zh-CN" w:bidi="ar-SA"/>
    </w:rPr>
  </w:style>
  <w:style w:type="character" w:customStyle="1" w:styleId="113">
    <w:name w:val="正文文本缩进 Char"/>
    <w:basedOn w:val="65"/>
    <w:qFormat/>
    <w:uiPriority w:val="0"/>
  </w:style>
  <w:style w:type="character" w:customStyle="1" w:styleId="114">
    <w:name w:val="正文文本缩进 字符"/>
    <w:basedOn w:val="65"/>
    <w:link w:val="26"/>
    <w:qFormat/>
    <w:uiPriority w:val="0"/>
    <w:rPr>
      <w:rFonts w:ascii="Times New Roman" w:hAnsi="Times New Roman" w:eastAsia="宋体" w:cs="Times New Roman"/>
      <w:szCs w:val="24"/>
    </w:rPr>
  </w:style>
  <w:style w:type="paragraph" w:customStyle="1" w:styleId="115">
    <w:name w:val="xl51"/>
    <w:basedOn w:val="1"/>
    <w:qFormat/>
    <w:uiPriority w:val="0"/>
    <w:pPr>
      <w:widowControl/>
      <w:pBdr>
        <w:top w:val="single" w:color="auto" w:sz="4" w:space="0"/>
        <w:left w:val="single" w:color="auto" w:sz="4" w:space="0"/>
      </w:pBdr>
      <w:shd w:val="clear" w:color="auto" w:fill="FFFFFF"/>
      <w:spacing w:before="100" w:beforeAutospacing="1" w:after="100" w:afterAutospacing="1"/>
      <w:jc w:val="center"/>
    </w:pPr>
    <w:rPr>
      <w:rFonts w:ascii="宋体" w:hAnsi="宋体" w:eastAsia="宋体" w:cs="Times New Roman"/>
      <w:kern w:val="0"/>
      <w:sz w:val="20"/>
      <w:szCs w:val="20"/>
    </w:rPr>
  </w:style>
  <w:style w:type="character" w:customStyle="1" w:styleId="116">
    <w:name w:val="正文文本缩进 2 字符"/>
    <w:basedOn w:val="65"/>
    <w:link w:val="39"/>
    <w:qFormat/>
    <w:uiPriority w:val="0"/>
    <w:rPr>
      <w:rFonts w:ascii="Times New Roman" w:hAnsi="Times New Roman" w:eastAsia="宋体" w:cs="Times New Roman"/>
      <w:szCs w:val="24"/>
    </w:rPr>
  </w:style>
  <w:style w:type="character" w:customStyle="1" w:styleId="117">
    <w:name w:val="日期 字符"/>
    <w:basedOn w:val="65"/>
    <w:link w:val="38"/>
    <w:qFormat/>
    <w:uiPriority w:val="0"/>
    <w:rPr>
      <w:rFonts w:ascii="Times New Roman" w:hAnsi="Times New Roman" w:eastAsia="宋体" w:cs="Times New Roman"/>
      <w:kern w:val="0"/>
      <w:sz w:val="24"/>
      <w:szCs w:val="20"/>
    </w:rPr>
  </w:style>
  <w:style w:type="paragraph" w:customStyle="1" w:styleId="118">
    <w:name w:val="样式 标题 2 + (西文) Times New Roman (中文) 黑体 三号 自动设置"/>
    <w:basedOn w:val="4"/>
    <w:link w:val="119"/>
    <w:semiHidden/>
    <w:qFormat/>
    <w:uiPriority w:val="0"/>
    <w:rPr>
      <w:rFonts w:eastAsia="黑体"/>
      <w:kern w:val="2"/>
      <w:sz w:val="30"/>
    </w:rPr>
  </w:style>
  <w:style w:type="character" w:customStyle="1" w:styleId="119">
    <w:name w:val="样式 标题 2 + (西文) Times New Roman (中文) 黑体 三号 自动设置 Char"/>
    <w:basedOn w:val="83"/>
    <w:link w:val="118"/>
    <w:semiHidden/>
    <w:qFormat/>
    <w:uiPriority w:val="0"/>
    <w:rPr>
      <w:rFonts w:ascii="Times New Roman" w:hAnsi="Times New Roman" w:eastAsia="黑体" w:cs="Arial"/>
      <w:color w:val="1F497D"/>
      <w:spacing w:val="10"/>
      <w:kern w:val="28"/>
      <w:sz w:val="30"/>
      <w:szCs w:val="30"/>
    </w:rPr>
  </w:style>
  <w:style w:type="paragraph" w:customStyle="1" w:styleId="120">
    <w:name w:val="样式 标题 3 + (西文) Times New Roman (中文) 黑体 三号 自动设置 两端对齐 首行缩进:  ..."/>
    <w:basedOn w:val="5"/>
    <w:semiHidden/>
    <w:qFormat/>
    <w:uiPriority w:val="0"/>
    <w:pPr>
      <w:spacing w:before="260" w:after="260" w:line="416" w:lineRule="auto"/>
      <w:ind w:firstLine="540"/>
    </w:pPr>
    <w:rPr>
      <w:rFonts w:eastAsia="黑体" w:cs="宋体"/>
    </w:rPr>
  </w:style>
  <w:style w:type="character" w:customStyle="1" w:styleId="121">
    <w:name w:val="正文缩进 字符1"/>
    <w:basedOn w:val="65"/>
    <w:link w:val="18"/>
    <w:qFormat/>
    <w:uiPriority w:val="0"/>
    <w:rPr>
      <w:rFonts w:ascii="Times New Roman" w:hAnsi="Times New Roman" w:eastAsia="宋体" w:cs="Times New Roman"/>
      <w:szCs w:val="20"/>
    </w:rPr>
  </w:style>
  <w:style w:type="character" w:customStyle="1" w:styleId="122">
    <w:name w:val="正文文本缩进 3 字符"/>
    <w:basedOn w:val="65"/>
    <w:link w:val="50"/>
    <w:qFormat/>
    <w:uiPriority w:val="0"/>
    <w:rPr>
      <w:rFonts w:ascii="宋体" w:hAnsi="宋体" w:eastAsia="宋体" w:cs="Times New Roman"/>
      <w:sz w:val="28"/>
      <w:szCs w:val="20"/>
    </w:rPr>
  </w:style>
  <w:style w:type="paragraph" w:customStyle="1" w:styleId="123">
    <w:name w:val="font6"/>
    <w:basedOn w:val="1"/>
    <w:qFormat/>
    <w:uiPriority w:val="0"/>
    <w:pPr>
      <w:widowControl/>
      <w:spacing w:before="100" w:beforeAutospacing="1" w:after="100" w:afterAutospacing="1"/>
      <w:jc w:val="left"/>
    </w:pPr>
    <w:rPr>
      <w:rFonts w:hint="eastAsia" w:ascii="宋体" w:hAnsi="宋体" w:eastAsia="宋体" w:cs="Times New Roman"/>
      <w:kern w:val="0"/>
      <w:sz w:val="20"/>
      <w:szCs w:val="20"/>
    </w:rPr>
  </w:style>
  <w:style w:type="paragraph" w:customStyle="1" w:styleId="124">
    <w:name w:val="font5"/>
    <w:basedOn w:val="1"/>
    <w:qFormat/>
    <w:uiPriority w:val="0"/>
    <w:pPr>
      <w:widowControl/>
      <w:spacing w:before="100" w:beforeAutospacing="1" w:after="100" w:afterAutospacing="1"/>
      <w:jc w:val="left"/>
    </w:pPr>
    <w:rPr>
      <w:rFonts w:hint="eastAsia" w:ascii="宋体" w:hAnsi="宋体" w:eastAsia="宋体" w:cs="Times New Roman"/>
      <w:kern w:val="0"/>
      <w:sz w:val="20"/>
      <w:szCs w:val="20"/>
    </w:rPr>
  </w:style>
  <w:style w:type="paragraph" w:customStyle="1" w:styleId="125">
    <w:name w:val="font7"/>
    <w:basedOn w:val="1"/>
    <w:qFormat/>
    <w:uiPriority w:val="0"/>
    <w:pPr>
      <w:widowControl/>
      <w:spacing w:before="100" w:beforeAutospacing="1" w:after="100" w:afterAutospacing="1"/>
      <w:jc w:val="left"/>
    </w:pPr>
    <w:rPr>
      <w:rFonts w:hint="eastAsia" w:ascii="宋体" w:hAnsi="宋体" w:eastAsia="宋体" w:cs="Times New Roman"/>
      <w:kern w:val="0"/>
      <w:sz w:val="18"/>
      <w:szCs w:val="18"/>
    </w:rPr>
  </w:style>
  <w:style w:type="paragraph" w:customStyle="1" w:styleId="126">
    <w:name w:val="xl42"/>
    <w:basedOn w:val="1"/>
    <w:qFormat/>
    <w:uiPriority w:val="0"/>
    <w:pPr>
      <w:widowControl/>
      <w:shd w:val="clear" w:color="auto" w:fill="FFFFFF"/>
      <w:spacing w:before="100" w:beforeAutospacing="1" w:after="100" w:afterAutospacing="1"/>
      <w:jc w:val="left"/>
    </w:pPr>
    <w:rPr>
      <w:rFonts w:ascii="Times New Roman" w:hAnsi="Times New Roman" w:eastAsia="宋体" w:cs="Times New Roman"/>
      <w:kern w:val="0"/>
      <w:sz w:val="24"/>
      <w:szCs w:val="24"/>
    </w:rPr>
  </w:style>
  <w:style w:type="paragraph" w:customStyle="1" w:styleId="127">
    <w:name w:val="xl43"/>
    <w:basedOn w:val="1"/>
    <w:qFormat/>
    <w:uiPriority w:val="0"/>
    <w:pPr>
      <w:widowControl/>
      <w:shd w:val="clear" w:color="auto" w:fill="FFFFFF"/>
      <w:spacing w:before="100" w:beforeAutospacing="1" w:after="100" w:afterAutospacing="1"/>
      <w:jc w:val="right"/>
    </w:pPr>
    <w:rPr>
      <w:rFonts w:ascii="宋体" w:hAnsi="宋体" w:eastAsia="宋体" w:cs="Times New Roman"/>
      <w:kern w:val="0"/>
      <w:sz w:val="20"/>
      <w:szCs w:val="20"/>
    </w:rPr>
  </w:style>
  <w:style w:type="paragraph" w:customStyle="1" w:styleId="128">
    <w:name w:val="xl44"/>
    <w:basedOn w:val="1"/>
    <w:qFormat/>
    <w:uiPriority w:val="0"/>
    <w:pPr>
      <w:widowControl/>
      <w:shd w:val="clear" w:color="auto" w:fill="FFFFFF"/>
      <w:spacing w:before="100" w:beforeAutospacing="1" w:after="100" w:afterAutospacing="1"/>
      <w:jc w:val="left"/>
    </w:pPr>
    <w:rPr>
      <w:rFonts w:ascii="宋体" w:hAnsi="宋体" w:eastAsia="宋体" w:cs="Times New Roman"/>
      <w:kern w:val="0"/>
      <w:sz w:val="20"/>
      <w:szCs w:val="20"/>
    </w:rPr>
  </w:style>
  <w:style w:type="paragraph" w:customStyle="1" w:styleId="129">
    <w:name w:val="xl45"/>
    <w:basedOn w:val="1"/>
    <w:qFormat/>
    <w:uiPriority w:val="0"/>
    <w:pPr>
      <w:widowControl/>
      <w:shd w:val="clear" w:color="auto" w:fill="FFFFFF"/>
      <w:spacing w:before="100" w:beforeAutospacing="1" w:after="100" w:afterAutospacing="1"/>
      <w:jc w:val="center"/>
    </w:pPr>
    <w:rPr>
      <w:rFonts w:ascii="宋体" w:hAnsi="宋体" w:eastAsia="宋体" w:cs="Times New Roman"/>
      <w:kern w:val="0"/>
      <w:sz w:val="24"/>
      <w:szCs w:val="24"/>
    </w:rPr>
  </w:style>
  <w:style w:type="paragraph" w:customStyle="1" w:styleId="130">
    <w:name w:val="xl4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31">
    <w:name w:val="xl4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32">
    <w:name w:val="xl4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eastAsia="宋体" w:cs="Times New Roman"/>
      <w:kern w:val="0"/>
      <w:sz w:val="20"/>
      <w:szCs w:val="20"/>
    </w:rPr>
  </w:style>
  <w:style w:type="paragraph" w:customStyle="1" w:styleId="133">
    <w:name w:val="xl4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eastAsia="宋体" w:cs="Times New Roman"/>
      <w:kern w:val="0"/>
      <w:sz w:val="20"/>
      <w:szCs w:val="20"/>
    </w:rPr>
  </w:style>
  <w:style w:type="paragraph" w:customStyle="1" w:styleId="134">
    <w:name w:val="xl50"/>
    <w:basedOn w:val="1"/>
    <w:qFormat/>
    <w:uiPriority w:val="0"/>
    <w:pPr>
      <w:widowControl/>
      <w:shd w:val="clear" w:color="auto" w:fill="FFFFFF"/>
      <w:spacing w:before="100" w:beforeAutospacing="1" w:after="100" w:afterAutospacing="1"/>
      <w:jc w:val="center"/>
    </w:pPr>
    <w:rPr>
      <w:rFonts w:ascii="宋体" w:hAnsi="宋体" w:eastAsia="宋体" w:cs="Times New Roman"/>
      <w:kern w:val="0"/>
      <w:sz w:val="28"/>
      <w:szCs w:val="28"/>
    </w:rPr>
  </w:style>
  <w:style w:type="paragraph" w:customStyle="1" w:styleId="135">
    <w:name w:val="xl52"/>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Times New Roman"/>
      <w:kern w:val="0"/>
      <w:sz w:val="20"/>
      <w:szCs w:val="20"/>
    </w:rPr>
  </w:style>
  <w:style w:type="paragraph" w:customStyle="1" w:styleId="136">
    <w:name w:val="xl53"/>
    <w:basedOn w:val="1"/>
    <w:qFormat/>
    <w:uiPriority w:val="0"/>
    <w:pPr>
      <w:widowControl/>
      <w:pBdr>
        <w:top w:val="single" w:color="auto" w:sz="4" w:space="0"/>
      </w:pBdr>
      <w:shd w:val="clear" w:color="auto" w:fill="FFFFFF"/>
      <w:spacing w:before="100" w:beforeAutospacing="1" w:after="100" w:afterAutospacing="1"/>
      <w:jc w:val="center"/>
    </w:pPr>
    <w:rPr>
      <w:rFonts w:ascii="宋体" w:hAnsi="宋体" w:eastAsia="宋体" w:cs="Times New Roman"/>
      <w:kern w:val="0"/>
      <w:sz w:val="20"/>
      <w:szCs w:val="20"/>
    </w:rPr>
  </w:style>
  <w:style w:type="paragraph" w:customStyle="1" w:styleId="137">
    <w:name w:val="xl54"/>
    <w:basedOn w:val="1"/>
    <w:qFormat/>
    <w:uiPriority w:val="0"/>
    <w:pPr>
      <w:widowControl/>
      <w:pBdr>
        <w:top w:val="single" w:color="auto" w:sz="4" w:space="0"/>
        <w:right w:val="single" w:color="auto" w:sz="4" w:space="0"/>
      </w:pBdr>
      <w:shd w:val="clear" w:color="auto" w:fill="FFFFFF"/>
      <w:spacing w:before="100" w:beforeAutospacing="1" w:after="100" w:afterAutospacing="1"/>
      <w:jc w:val="center"/>
    </w:pPr>
    <w:rPr>
      <w:rFonts w:ascii="宋体" w:hAnsi="宋体" w:eastAsia="宋体" w:cs="Times New Roman"/>
      <w:kern w:val="0"/>
      <w:sz w:val="20"/>
      <w:szCs w:val="20"/>
    </w:rPr>
  </w:style>
  <w:style w:type="paragraph" w:customStyle="1" w:styleId="138">
    <w:name w:val="xl55"/>
    <w:basedOn w:val="1"/>
    <w:qFormat/>
    <w:uiPriority w:val="0"/>
    <w:pPr>
      <w:widowControl/>
      <w:pBdr>
        <w:left w:val="single" w:color="auto" w:sz="4" w:space="0"/>
      </w:pBdr>
      <w:shd w:val="clear" w:color="auto" w:fill="FFFFFF"/>
      <w:spacing w:before="100" w:beforeAutospacing="1" w:after="100" w:afterAutospacing="1"/>
      <w:jc w:val="center"/>
    </w:pPr>
    <w:rPr>
      <w:rFonts w:ascii="宋体" w:hAnsi="宋体" w:eastAsia="宋体" w:cs="Times New Roman"/>
      <w:kern w:val="0"/>
      <w:sz w:val="20"/>
      <w:szCs w:val="20"/>
    </w:rPr>
  </w:style>
  <w:style w:type="paragraph" w:customStyle="1" w:styleId="139">
    <w:name w:val="xl56"/>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Times New Roman"/>
      <w:kern w:val="0"/>
      <w:sz w:val="20"/>
      <w:szCs w:val="20"/>
    </w:rPr>
  </w:style>
  <w:style w:type="paragraph" w:customStyle="1" w:styleId="140">
    <w:name w:val="xl57"/>
    <w:basedOn w:val="1"/>
    <w:qFormat/>
    <w:uiPriority w:val="0"/>
    <w:pPr>
      <w:widowControl/>
      <w:shd w:val="clear" w:color="auto" w:fill="FFFFFF"/>
      <w:spacing w:before="100" w:beforeAutospacing="1" w:after="100" w:afterAutospacing="1"/>
      <w:jc w:val="center"/>
    </w:pPr>
    <w:rPr>
      <w:rFonts w:ascii="宋体" w:hAnsi="宋体" w:eastAsia="宋体" w:cs="Times New Roman"/>
      <w:kern w:val="0"/>
      <w:sz w:val="20"/>
      <w:szCs w:val="20"/>
    </w:rPr>
  </w:style>
  <w:style w:type="paragraph" w:customStyle="1" w:styleId="141">
    <w:name w:val="xl58"/>
    <w:basedOn w:val="1"/>
    <w:qFormat/>
    <w:uiPriority w:val="0"/>
    <w:pPr>
      <w:widowControl/>
      <w:pBdr>
        <w:right w:val="single" w:color="auto" w:sz="4" w:space="0"/>
      </w:pBdr>
      <w:shd w:val="clear" w:color="auto" w:fill="FFFFFF"/>
      <w:spacing w:before="100" w:beforeAutospacing="1" w:after="100" w:afterAutospacing="1"/>
      <w:jc w:val="center"/>
    </w:pPr>
    <w:rPr>
      <w:rFonts w:ascii="宋体" w:hAnsi="宋体" w:eastAsia="宋体" w:cs="Times New Roman"/>
      <w:kern w:val="0"/>
      <w:sz w:val="20"/>
      <w:szCs w:val="20"/>
    </w:rPr>
  </w:style>
  <w:style w:type="paragraph" w:customStyle="1" w:styleId="142">
    <w:name w:val="xl59"/>
    <w:basedOn w:val="1"/>
    <w:qFormat/>
    <w:uiPriority w:val="0"/>
    <w:pPr>
      <w:widowControl/>
      <w:pBdr>
        <w:bottom w:val="single" w:color="auto" w:sz="4" w:space="0"/>
      </w:pBdr>
      <w:shd w:val="clear" w:color="auto" w:fill="FFFFFF"/>
      <w:spacing w:before="100" w:beforeAutospacing="1" w:after="100" w:afterAutospacing="1"/>
      <w:jc w:val="left"/>
    </w:pPr>
    <w:rPr>
      <w:rFonts w:ascii="宋体" w:hAnsi="宋体" w:eastAsia="宋体" w:cs="Times New Roman"/>
      <w:kern w:val="0"/>
      <w:sz w:val="20"/>
      <w:szCs w:val="20"/>
    </w:rPr>
  </w:style>
  <w:style w:type="paragraph" w:customStyle="1" w:styleId="143">
    <w:name w:val="xl6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44">
    <w:name w:val="xl61"/>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45">
    <w:name w:val="xl62"/>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46">
    <w:name w:val="xl63"/>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47">
    <w:name w:val="xl64"/>
    <w:basedOn w:val="1"/>
    <w:qFormat/>
    <w:uiPriority w:val="0"/>
    <w:pPr>
      <w:widowControl/>
      <w:pBdr>
        <w:left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48">
    <w:name w:val="xl65"/>
    <w:basedOn w:val="1"/>
    <w:qFormat/>
    <w:uiPriority w:val="0"/>
    <w:pPr>
      <w:widowControl/>
      <w:pBdr>
        <w:right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49">
    <w:name w:val="xl66"/>
    <w:basedOn w:val="1"/>
    <w:qFormat/>
    <w:uiPriority w:val="0"/>
    <w:pPr>
      <w:widowControl/>
      <w:pBdr>
        <w:left w:val="single" w:color="auto" w:sz="4" w:space="0"/>
        <w:bottom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50">
    <w:name w:val="xl67"/>
    <w:basedOn w:val="1"/>
    <w:qFormat/>
    <w:uiPriority w:val="0"/>
    <w:pPr>
      <w:widowControl/>
      <w:pBdr>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51">
    <w:name w:val="xl68"/>
    <w:basedOn w:val="1"/>
    <w:qFormat/>
    <w:uiPriority w:val="0"/>
    <w:pPr>
      <w:widowControl/>
      <w:pBdr>
        <w:top w:val="single" w:color="auto" w:sz="4" w:space="0"/>
        <w:left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52">
    <w:name w:val="xl69"/>
    <w:basedOn w:val="1"/>
    <w:qFormat/>
    <w:uiPriority w:val="0"/>
    <w:pPr>
      <w:widowControl/>
      <w:pBdr>
        <w:top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53">
    <w:name w:val="xl7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54">
    <w:name w:val="xl71"/>
    <w:basedOn w:val="1"/>
    <w:qFormat/>
    <w:uiPriority w:val="0"/>
    <w:pPr>
      <w:widowControl/>
      <w:pBdr>
        <w:left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55">
    <w:name w:val="xl7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Times New Roman"/>
      <w:kern w:val="0"/>
      <w:sz w:val="20"/>
      <w:szCs w:val="20"/>
    </w:rPr>
  </w:style>
  <w:style w:type="paragraph" w:customStyle="1" w:styleId="156">
    <w:name w:val="xl73"/>
    <w:basedOn w:val="1"/>
    <w:qFormat/>
    <w:uiPriority w:val="0"/>
    <w:pPr>
      <w:widowControl/>
      <w:pBdr>
        <w:bottom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57">
    <w:name w:val="xl74"/>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cs="Times New Roman"/>
      <w:kern w:val="0"/>
      <w:sz w:val="20"/>
      <w:szCs w:val="20"/>
    </w:rPr>
  </w:style>
  <w:style w:type="paragraph" w:customStyle="1" w:styleId="158">
    <w:name w:val="xl75"/>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right"/>
    </w:pPr>
    <w:rPr>
      <w:rFonts w:ascii="Times New Roman" w:hAnsi="Times New Roman" w:eastAsia="宋体" w:cs="Times New Roman"/>
      <w:kern w:val="0"/>
      <w:sz w:val="20"/>
      <w:szCs w:val="20"/>
    </w:rPr>
  </w:style>
  <w:style w:type="paragraph" w:customStyle="1" w:styleId="159">
    <w:name w:val="xl76"/>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pPr>
    <w:rPr>
      <w:rFonts w:ascii="宋体" w:hAnsi="宋体" w:eastAsia="宋体" w:cs="Times New Roman"/>
      <w:kern w:val="0"/>
      <w:sz w:val="20"/>
      <w:szCs w:val="20"/>
    </w:rPr>
  </w:style>
  <w:style w:type="paragraph" w:customStyle="1" w:styleId="160">
    <w:name w:val="xl77"/>
    <w:basedOn w:val="1"/>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eastAsia="宋体" w:cs="Times New Roman"/>
      <w:kern w:val="0"/>
      <w:sz w:val="20"/>
      <w:szCs w:val="20"/>
    </w:rPr>
  </w:style>
  <w:style w:type="paragraph" w:customStyle="1" w:styleId="161">
    <w:name w:val="x.x(1)"/>
    <w:basedOn w:val="1"/>
    <w:semiHidden/>
    <w:qFormat/>
    <w:uiPriority w:val="0"/>
    <w:pPr>
      <w:overflowPunct w:val="0"/>
      <w:autoSpaceDE w:val="0"/>
      <w:autoSpaceDN w:val="0"/>
      <w:adjustRightInd w:val="0"/>
      <w:spacing w:line="300" w:lineRule="auto"/>
      <w:ind w:left="1134" w:hanging="567"/>
      <w:textAlignment w:val="baseline"/>
    </w:pPr>
    <w:rPr>
      <w:rFonts w:ascii="Times New Roman" w:hAnsi="Times New Roman" w:eastAsia="宋体" w:cs="Times New Roman"/>
      <w:kern w:val="0"/>
      <w:sz w:val="22"/>
      <w:szCs w:val="20"/>
    </w:rPr>
  </w:style>
  <w:style w:type="paragraph" w:customStyle="1" w:styleId="162">
    <w:name w:val="小于节标题"/>
    <w:basedOn w:val="1"/>
    <w:semiHidden/>
    <w:qFormat/>
    <w:uiPriority w:val="0"/>
    <w:pPr>
      <w:tabs>
        <w:tab w:val="left" w:pos="567"/>
      </w:tabs>
      <w:spacing w:line="360" w:lineRule="auto"/>
    </w:pPr>
    <w:rPr>
      <w:rFonts w:ascii="Times New Roman" w:hAnsi="Times New Roman" w:eastAsia="华文中宋" w:cs="Times New Roman"/>
      <w:spacing w:val="20"/>
      <w:sz w:val="24"/>
      <w:szCs w:val="20"/>
    </w:rPr>
  </w:style>
  <w:style w:type="paragraph" w:customStyle="1" w:styleId="163">
    <w:name w:val="基准标题"/>
    <w:basedOn w:val="25"/>
    <w:next w:val="25"/>
    <w:semiHidden/>
    <w:qFormat/>
    <w:uiPriority w:val="0"/>
    <w:pPr>
      <w:snapToGrid w:val="0"/>
      <w:spacing w:before="80" w:after="80" w:line="240" w:lineRule="auto"/>
    </w:pPr>
    <w:rPr>
      <w:color w:val="000000"/>
      <w:sz w:val="21"/>
      <w:szCs w:val="21"/>
    </w:rPr>
  </w:style>
  <w:style w:type="character" w:customStyle="1" w:styleId="164">
    <w:name w:val="正文文本首行缩进 字符"/>
    <w:basedOn w:val="105"/>
    <w:link w:val="60"/>
    <w:qFormat/>
    <w:uiPriority w:val="0"/>
    <w:rPr>
      <w:rFonts w:ascii="Times New Roman" w:hAnsi="Times New Roman" w:eastAsia="宋体" w:cs="Times New Roman"/>
      <w:sz w:val="24"/>
      <w:szCs w:val="24"/>
    </w:rPr>
  </w:style>
  <w:style w:type="character" w:customStyle="1" w:styleId="165">
    <w:name w:val="Char Char4"/>
    <w:basedOn w:val="65"/>
    <w:uiPriority w:val="0"/>
    <w:rPr>
      <w:rFonts w:ascii="宋体" w:hAnsi="宋体" w:eastAsia="宋体"/>
      <w:kern w:val="2"/>
      <w:sz w:val="28"/>
      <w:szCs w:val="28"/>
      <w:lang w:val="en-US" w:eastAsia="zh-CN" w:bidi="ar-SA"/>
    </w:rPr>
  </w:style>
  <w:style w:type="paragraph" w:customStyle="1" w:styleId="166">
    <w:name w:val="Char Char Char Char Char Char Char Char Char Char"/>
    <w:basedOn w:val="1"/>
    <w:uiPriority w:val="0"/>
    <w:pPr>
      <w:spacing w:line="360" w:lineRule="auto"/>
      <w:ind w:firstLine="200" w:firstLineChars="200"/>
    </w:pPr>
    <w:rPr>
      <w:rFonts w:ascii="宋体" w:hAnsi="宋体" w:eastAsia="宋体" w:cs="宋体"/>
      <w:sz w:val="24"/>
      <w:szCs w:val="24"/>
    </w:rPr>
  </w:style>
  <w:style w:type="paragraph" w:customStyle="1" w:styleId="167">
    <w:name w:val="正文(首行缩进)"/>
    <w:basedOn w:val="1"/>
    <w:uiPriority w:val="0"/>
    <w:pPr>
      <w:adjustRightInd w:val="0"/>
      <w:snapToGrid w:val="0"/>
      <w:spacing w:line="360" w:lineRule="auto"/>
      <w:ind w:firstLine="200" w:firstLineChars="200"/>
    </w:pPr>
    <w:rPr>
      <w:rFonts w:ascii="Times New Roman" w:hAnsi="Times New Roman" w:eastAsia="宋体" w:cs="Times New Roman"/>
      <w:snapToGrid w:val="0"/>
      <w:kern w:val="0"/>
      <w:sz w:val="24"/>
      <w:szCs w:val="24"/>
    </w:rPr>
  </w:style>
  <w:style w:type="character" w:customStyle="1" w:styleId="168">
    <w:name w:val="纯文本 Char Char Char"/>
    <w:basedOn w:val="65"/>
    <w:semiHidden/>
    <w:qFormat/>
    <w:uiPriority w:val="0"/>
    <w:rPr>
      <w:rFonts w:ascii="宋体" w:hAnsi="Courier New" w:eastAsia="宋体"/>
      <w:kern w:val="2"/>
      <w:sz w:val="21"/>
      <w:lang w:val="en-US" w:eastAsia="zh-CN" w:bidi="ar-SA"/>
    </w:rPr>
  </w:style>
  <w:style w:type="paragraph" w:customStyle="1" w:styleId="169">
    <w:name w:val="默认段落字体 Para Char Char Char Char"/>
    <w:basedOn w:val="1"/>
    <w:uiPriority w:val="0"/>
    <w:rPr>
      <w:rFonts w:ascii="宋体" w:hAnsi="Times New Roman" w:eastAsia="宋体" w:cs="Times New Roman"/>
      <w:kern w:val="0"/>
      <w:sz w:val="18"/>
      <w:szCs w:val="20"/>
      <w:u w:val="single"/>
    </w:rPr>
  </w:style>
  <w:style w:type="character" w:customStyle="1" w:styleId="170">
    <w:name w:val="正文文本 2 字符"/>
    <w:basedOn w:val="65"/>
    <w:link w:val="53"/>
    <w:qFormat/>
    <w:uiPriority w:val="0"/>
    <w:rPr>
      <w:rFonts w:ascii="Times New Roman" w:hAnsi="Times New Roman" w:eastAsia="宋体" w:cs="Times New Roman"/>
      <w:szCs w:val="24"/>
    </w:rPr>
  </w:style>
  <w:style w:type="paragraph" w:customStyle="1" w:styleId="171">
    <w:name w:val="样式 样式 宋体 小四 行距: 1.5 倍行距 + 首行缩进:  2 字符"/>
    <w:basedOn w:val="1"/>
    <w:uiPriority w:val="0"/>
    <w:pPr>
      <w:spacing w:line="360" w:lineRule="auto"/>
      <w:ind w:firstLine="560" w:firstLineChars="200"/>
    </w:pPr>
    <w:rPr>
      <w:rFonts w:ascii="宋体" w:hAnsi="宋体" w:eastAsia="宋体" w:cs="Times New Roman"/>
      <w:kern w:val="28"/>
      <w:sz w:val="28"/>
      <w:szCs w:val="20"/>
    </w:rPr>
  </w:style>
  <w:style w:type="paragraph" w:customStyle="1" w:styleId="172">
    <w:name w:val="样式 标题 2 + 楷体_GB2312 黑色"/>
    <w:basedOn w:val="4"/>
    <w:semiHidden/>
    <w:qFormat/>
    <w:uiPriority w:val="0"/>
    <w:rPr>
      <w:rFonts w:ascii="楷体_GB2312" w:hAnsi="楷体_GB2312"/>
      <w:color w:val="000000"/>
    </w:rPr>
  </w:style>
  <w:style w:type="paragraph" w:customStyle="1" w:styleId="173">
    <w:name w:val="样式 标题 3 + 楷体_GB2312"/>
    <w:basedOn w:val="5"/>
    <w:semiHidden/>
    <w:qFormat/>
    <w:uiPriority w:val="0"/>
    <w:rPr>
      <w:rFonts w:ascii="楷体_GB2312" w:hAnsi="楷体_GB2312"/>
    </w:rPr>
  </w:style>
  <w:style w:type="character" w:customStyle="1" w:styleId="174">
    <w:name w:val="文档结构图 字符"/>
    <w:basedOn w:val="65"/>
    <w:link w:val="21"/>
    <w:autoRedefine/>
    <w:semiHidden/>
    <w:qFormat/>
    <w:uiPriority w:val="99"/>
    <w:rPr>
      <w:rFonts w:ascii="Times New Roman" w:hAnsi="Times New Roman" w:eastAsia="宋体" w:cs="Times New Roman"/>
      <w:sz w:val="28"/>
      <w:szCs w:val="24"/>
      <w:shd w:val="clear" w:color="auto" w:fill="000080"/>
    </w:rPr>
  </w:style>
  <w:style w:type="paragraph" w:customStyle="1" w:styleId="175">
    <w:name w:val="Char"/>
    <w:basedOn w:val="1"/>
    <w:next w:val="1"/>
    <w:autoRedefine/>
    <w:qFormat/>
    <w:uiPriority w:val="0"/>
    <w:pPr>
      <w:widowControl/>
      <w:jc w:val="left"/>
    </w:pPr>
    <w:rPr>
      <w:rFonts w:ascii="Times New Roman" w:hAnsi="Times New Roman" w:eastAsia="宋体" w:cs="Times New Roman"/>
      <w:szCs w:val="24"/>
    </w:rPr>
  </w:style>
  <w:style w:type="paragraph" w:customStyle="1" w:styleId="176">
    <w:name w:val="xl24"/>
    <w:basedOn w:val="1"/>
    <w:autoRedefine/>
    <w:qFormat/>
    <w:uiPriority w:val="0"/>
    <w:pPr>
      <w:widowControl/>
      <w:pBdr>
        <w:bottom w:val="single" w:color="auto" w:sz="4" w:space="0"/>
        <w:right w:val="single" w:color="auto" w:sz="4" w:space="0"/>
      </w:pBdr>
      <w:spacing w:before="100" w:beforeAutospacing="1" w:after="100" w:afterAutospacing="1"/>
      <w:textAlignment w:val="top"/>
    </w:pPr>
    <w:rPr>
      <w:rFonts w:ascii="宋体" w:hAnsi="宋体" w:eastAsia="宋体" w:cs="Times New Roman"/>
      <w:kern w:val="0"/>
      <w:szCs w:val="21"/>
    </w:rPr>
  </w:style>
  <w:style w:type="paragraph" w:customStyle="1" w:styleId="177">
    <w:name w:val="正文表格"/>
    <w:basedOn w:val="1"/>
    <w:qFormat/>
    <w:uiPriority w:val="0"/>
    <w:pPr>
      <w:keepNext/>
      <w:keepLines/>
      <w:tabs>
        <w:tab w:val="center" w:pos="6804"/>
      </w:tabs>
      <w:overflowPunct w:val="0"/>
      <w:adjustRightInd w:val="0"/>
      <w:spacing w:before="80"/>
      <w:jc w:val="center"/>
      <w:textAlignment w:val="bottom"/>
    </w:pPr>
    <w:rPr>
      <w:rFonts w:ascii="Times New Roman" w:hAnsi="Times New Roman" w:eastAsia="宋体" w:cs="Times New Roman"/>
      <w:kern w:val="0"/>
      <w:sz w:val="28"/>
      <w:szCs w:val="20"/>
    </w:rPr>
  </w:style>
  <w:style w:type="paragraph" w:customStyle="1" w:styleId="178">
    <w:name w:val="yiv7844428264"/>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79">
    <w:name w:val="t_tag"/>
    <w:basedOn w:val="65"/>
    <w:uiPriority w:val="0"/>
  </w:style>
  <w:style w:type="paragraph" w:customStyle="1" w:styleId="180">
    <w:name w:val="Char Char Char Char2"/>
    <w:basedOn w:val="1"/>
    <w:uiPriority w:val="0"/>
    <w:rPr>
      <w:rFonts w:ascii="Times New Roman" w:hAnsi="Times New Roman" w:eastAsia="宋体" w:cs="Times New Roman"/>
      <w:szCs w:val="20"/>
    </w:rPr>
  </w:style>
  <w:style w:type="paragraph" w:customStyle="1" w:styleId="181">
    <w:name w:val="可研报告正文"/>
    <w:basedOn w:val="1"/>
    <w:uiPriority w:val="0"/>
    <w:pPr>
      <w:tabs>
        <w:tab w:val="left" w:pos="5880"/>
      </w:tabs>
      <w:spacing w:beforeLines="50" w:line="440" w:lineRule="exact"/>
      <w:ind w:left="425" w:firstLine="482"/>
    </w:pPr>
    <w:rPr>
      <w:rFonts w:ascii="Times New Roman" w:hAnsi="Times New Roman" w:eastAsia="宋体" w:cs="Times New Roman"/>
      <w:sz w:val="24"/>
      <w:szCs w:val="24"/>
    </w:rPr>
  </w:style>
  <w:style w:type="paragraph" w:customStyle="1" w:styleId="182">
    <w:name w:val="Char Char Char"/>
    <w:basedOn w:val="1"/>
    <w:uiPriority w:val="0"/>
    <w:rPr>
      <w:rFonts w:ascii="Times New Roman" w:hAnsi="Times New Roman" w:eastAsia="宋体" w:cs="Times New Roman"/>
      <w:szCs w:val="24"/>
    </w:rPr>
  </w:style>
  <w:style w:type="paragraph" w:customStyle="1" w:styleId="183">
    <w:name w:val="表格内字体21"/>
    <w:basedOn w:val="1"/>
    <w:next w:val="1"/>
    <w:qFormat/>
    <w:uiPriority w:val="0"/>
    <w:pPr>
      <w:adjustRightInd w:val="0"/>
      <w:snapToGrid w:val="0"/>
    </w:pPr>
    <w:rPr>
      <w:rFonts w:ascii="宋体" w:hAnsi="宋体" w:eastAsia="宋体" w:cs="Times New Roman"/>
      <w:szCs w:val="24"/>
    </w:rPr>
  </w:style>
  <w:style w:type="paragraph" w:customStyle="1" w:styleId="184">
    <w:name w:val="表格文字"/>
    <w:qFormat/>
    <w:uiPriority w:val="0"/>
    <w:pPr>
      <w:snapToGrid w:val="0"/>
    </w:pPr>
    <w:rPr>
      <w:rFonts w:ascii="宋体" w:hAnsi="宋体" w:eastAsia="宋体" w:cs="Times New Roman"/>
      <w:sz w:val="21"/>
      <w:lang w:val="en-US" w:eastAsia="zh-CN" w:bidi="ar-SA"/>
    </w:rPr>
  </w:style>
  <w:style w:type="paragraph" w:customStyle="1" w:styleId="185">
    <w:name w:val="样式 表格内容 + (中文) 宋体 居中"/>
    <w:basedOn w:val="1"/>
    <w:qFormat/>
    <w:uiPriority w:val="0"/>
    <w:pPr>
      <w:overflowPunct w:val="0"/>
      <w:adjustRightInd w:val="0"/>
      <w:snapToGrid w:val="0"/>
      <w:spacing w:after="120" w:line="440" w:lineRule="exact"/>
      <w:jc w:val="center"/>
      <w:textAlignment w:val="baseline"/>
    </w:pPr>
    <w:rPr>
      <w:rFonts w:ascii="Arial" w:hAnsi="Arial" w:eastAsia="宋体" w:cs="Times New Roman"/>
      <w:kern w:val="0"/>
      <w:szCs w:val="21"/>
    </w:rPr>
  </w:style>
  <w:style w:type="paragraph" w:customStyle="1" w:styleId="186">
    <w:name w:val="Achievement"/>
    <w:basedOn w:val="1"/>
    <w:uiPriority w:val="0"/>
    <w:pPr>
      <w:tabs>
        <w:tab w:val="left" w:pos="1620"/>
        <w:tab w:val="left" w:pos="2040"/>
      </w:tabs>
      <w:spacing w:line="440" w:lineRule="exact"/>
      <w:ind w:left="2040" w:leftChars="800" w:hanging="360" w:hangingChars="200"/>
    </w:pPr>
    <w:rPr>
      <w:rFonts w:ascii="Times New Roman" w:hAnsi="Times New Roman" w:eastAsia="宋体" w:cs="Times New Roman"/>
      <w:szCs w:val="20"/>
    </w:rPr>
  </w:style>
  <w:style w:type="paragraph" w:customStyle="1" w:styleId="187">
    <w:name w:val="1"/>
    <w:basedOn w:val="3"/>
    <w:next w:val="1"/>
    <w:qFormat/>
    <w:uiPriority w:val="0"/>
    <w:pPr>
      <w:widowControl w:val="0"/>
      <w:pBdr>
        <w:bottom w:val="none" w:color="auto" w:sz="0" w:space="0"/>
      </w:pBdr>
      <w:adjustRightInd w:val="0"/>
      <w:spacing w:before="500" w:after="500"/>
      <w:contextualSpacing w:val="0"/>
      <w:jc w:val="center"/>
      <w:textAlignment w:val="baseline"/>
      <w:outlineLvl w:val="0"/>
    </w:pPr>
    <w:rPr>
      <w:rFonts w:ascii="楷体_GB2312" w:hAnsi="Arial" w:cs="Arial"/>
      <w:b w:val="0"/>
      <w:color w:val="auto"/>
      <w:spacing w:val="0"/>
      <w:kern w:val="44"/>
    </w:rPr>
  </w:style>
  <w:style w:type="paragraph" w:customStyle="1" w:styleId="188">
    <w:name w:val="5"/>
    <w:basedOn w:val="1"/>
    <w:link w:val="189"/>
    <w:qFormat/>
    <w:uiPriority w:val="0"/>
    <w:pPr>
      <w:adjustRightInd w:val="0"/>
      <w:spacing w:line="480" w:lineRule="auto"/>
      <w:ind w:firstLine="560" w:firstLineChars="200"/>
      <w:textAlignment w:val="baseline"/>
    </w:pPr>
    <w:rPr>
      <w:rFonts w:ascii="Arial" w:hAnsi="Arial" w:eastAsia="楷体_GB2312" w:cs="Arial"/>
      <w:bCs/>
      <w:kern w:val="0"/>
      <w:sz w:val="28"/>
      <w:szCs w:val="28"/>
    </w:rPr>
  </w:style>
  <w:style w:type="character" w:customStyle="1" w:styleId="189">
    <w:name w:val="5 Char"/>
    <w:basedOn w:val="65"/>
    <w:link w:val="188"/>
    <w:qFormat/>
    <w:uiPriority w:val="0"/>
    <w:rPr>
      <w:rFonts w:ascii="Arial" w:hAnsi="Arial" w:eastAsia="楷体_GB2312" w:cs="Arial"/>
      <w:bCs/>
      <w:kern w:val="0"/>
      <w:sz w:val="28"/>
      <w:szCs w:val="28"/>
    </w:rPr>
  </w:style>
  <w:style w:type="paragraph" w:customStyle="1" w:styleId="190">
    <w:name w:val="3"/>
    <w:basedOn w:val="4"/>
    <w:next w:val="188"/>
    <w:link w:val="191"/>
    <w:qFormat/>
    <w:uiPriority w:val="0"/>
    <w:pPr>
      <w:keepNext w:val="0"/>
      <w:keepLines w:val="0"/>
      <w:adjustRightInd w:val="0"/>
      <w:spacing w:before="100" w:after="100"/>
      <w:ind w:left="0" w:firstLine="0" w:firstLineChars="0"/>
      <w:jc w:val="left"/>
      <w:textAlignment w:val="baseline"/>
    </w:pPr>
    <w:rPr>
      <w:b w:val="0"/>
      <w:bCs/>
      <w:spacing w:val="0"/>
      <w:kern w:val="0"/>
      <w:sz w:val="30"/>
    </w:rPr>
  </w:style>
  <w:style w:type="character" w:customStyle="1" w:styleId="191">
    <w:name w:val="3 Char"/>
    <w:basedOn w:val="75"/>
    <w:link w:val="190"/>
    <w:qFormat/>
    <w:uiPriority w:val="0"/>
    <w:rPr>
      <w:rFonts w:ascii="Arial" w:hAnsi="Arial" w:eastAsia="楷体_GB2312" w:cs="Arial"/>
      <w:kern w:val="0"/>
      <w:sz w:val="30"/>
      <w:szCs w:val="30"/>
    </w:rPr>
  </w:style>
  <w:style w:type="paragraph" w:customStyle="1" w:styleId="192">
    <w:name w:val="2"/>
    <w:basedOn w:val="2"/>
    <w:next w:val="188"/>
    <w:link w:val="676"/>
    <w:qFormat/>
    <w:uiPriority w:val="0"/>
    <w:pPr>
      <w:widowControl w:val="0"/>
      <w:adjustRightInd w:val="0"/>
      <w:spacing w:before="100"/>
      <w:jc w:val="left"/>
      <w:textAlignment w:val="baseline"/>
    </w:pPr>
    <w:rPr>
      <w:rFonts w:hAnsi="楷体_GB2312"/>
      <w:szCs w:val="44"/>
    </w:rPr>
  </w:style>
  <w:style w:type="paragraph" w:customStyle="1" w:styleId="193">
    <w:name w:val="4"/>
    <w:basedOn w:val="5"/>
    <w:next w:val="188"/>
    <w:link w:val="675"/>
    <w:qFormat/>
    <w:uiPriority w:val="0"/>
    <w:pPr>
      <w:keepNext w:val="0"/>
      <w:keepLines w:val="0"/>
      <w:adjustRightInd w:val="0"/>
      <w:ind w:left="750" w:hanging="750" w:hangingChars="250"/>
      <w:jc w:val="left"/>
      <w:textAlignment w:val="baseline"/>
    </w:pPr>
    <w:rPr>
      <w:b w:val="0"/>
      <w:kern w:val="0"/>
    </w:rPr>
  </w:style>
  <w:style w:type="character" w:customStyle="1" w:styleId="194">
    <w:name w:val="HTML 预设格式 字符"/>
    <w:basedOn w:val="65"/>
    <w:link w:val="56"/>
    <w:qFormat/>
    <w:uiPriority w:val="0"/>
    <w:rPr>
      <w:rFonts w:ascii="黑体" w:hAnsi="Courier New" w:eastAsia="黑体" w:cs="Times New Roman"/>
      <w:kern w:val="0"/>
      <w:sz w:val="20"/>
      <w:szCs w:val="20"/>
    </w:rPr>
  </w:style>
  <w:style w:type="character" w:customStyle="1" w:styleId="195">
    <w:name w:val="脚注文本 字符"/>
    <w:basedOn w:val="65"/>
    <w:link w:val="48"/>
    <w:qFormat/>
    <w:uiPriority w:val="0"/>
    <w:rPr>
      <w:rFonts w:ascii="Times New Roman" w:hAnsi="Times New Roman" w:eastAsia="宋体" w:cs="Times New Roman"/>
      <w:sz w:val="18"/>
      <w:szCs w:val="18"/>
    </w:rPr>
  </w:style>
  <w:style w:type="paragraph" w:customStyle="1" w:styleId="196">
    <w:name w:val="样式 5 + 首行缩进:  2 字符"/>
    <w:basedOn w:val="188"/>
    <w:link w:val="197"/>
    <w:qFormat/>
    <w:uiPriority w:val="0"/>
    <w:pPr>
      <w:adjustRightInd/>
      <w:spacing w:line="240" w:lineRule="auto"/>
      <w:jc w:val="center"/>
      <w:textAlignment w:val="auto"/>
    </w:pPr>
    <w:rPr>
      <w:rFonts w:hAnsi="宋体" w:cs="宋体"/>
      <w:spacing w:val="-2"/>
      <w:kern w:val="2"/>
    </w:rPr>
  </w:style>
  <w:style w:type="character" w:customStyle="1" w:styleId="197">
    <w:name w:val="样式 5 + 首行缩进:  2 字符 Char"/>
    <w:basedOn w:val="189"/>
    <w:link w:val="196"/>
    <w:qFormat/>
    <w:uiPriority w:val="0"/>
    <w:rPr>
      <w:rFonts w:ascii="Arial" w:hAnsi="宋体" w:eastAsia="楷体_GB2312" w:cs="宋体"/>
      <w:spacing w:val="-2"/>
      <w:kern w:val="0"/>
      <w:sz w:val="28"/>
      <w:szCs w:val="28"/>
    </w:rPr>
  </w:style>
  <w:style w:type="paragraph" w:customStyle="1" w:styleId="198">
    <w:name w:val="xl23"/>
    <w:basedOn w:val="1"/>
    <w:qFormat/>
    <w:uiPriority w:val="0"/>
    <w:pPr>
      <w:widowControl/>
      <w:spacing w:before="100" w:beforeAutospacing="1" w:after="100" w:afterAutospacing="1"/>
      <w:jc w:val="center"/>
    </w:pPr>
    <w:rPr>
      <w:rFonts w:ascii="宋体" w:hAnsi="宋体" w:eastAsia="宋体" w:cs="Times New Roman"/>
      <w:kern w:val="0"/>
      <w:sz w:val="24"/>
      <w:szCs w:val="24"/>
    </w:rPr>
  </w:style>
  <w:style w:type="character" w:customStyle="1" w:styleId="199">
    <w:name w:val="正文文本 3 字符"/>
    <w:basedOn w:val="65"/>
    <w:link w:val="23"/>
    <w:qFormat/>
    <w:uiPriority w:val="0"/>
    <w:rPr>
      <w:rFonts w:ascii="Times New Roman" w:hAnsi="Times New Roman" w:eastAsia="楷体_GB2312" w:cs="Times New Roman"/>
      <w:sz w:val="24"/>
      <w:szCs w:val="24"/>
    </w:rPr>
  </w:style>
  <w:style w:type="paragraph" w:customStyle="1" w:styleId="200">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szCs w:val="24"/>
    </w:rPr>
  </w:style>
  <w:style w:type="paragraph" w:customStyle="1" w:styleId="201">
    <w:name w:val="正文1"/>
    <w:basedOn w:val="1"/>
    <w:link w:val="202"/>
    <w:qFormat/>
    <w:uiPriority w:val="0"/>
    <w:pPr>
      <w:adjustRightInd w:val="0"/>
      <w:spacing w:after="120" w:line="312" w:lineRule="atLeast"/>
      <w:textAlignment w:val="baseline"/>
    </w:pPr>
    <w:rPr>
      <w:rFonts w:ascii="宋体" w:hAnsi="Times New Roman" w:eastAsia="宋体" w:cs="Times New Roman"/>
      <w:kern w:val="0"/>
      <w:szCs w:val="20"/>
    </w:rPr>
  </w:style>
  <w:style w:type="character" w:customStyle="1" w:styleId="202">
    <w:name w:val="正文1 Char"/>
    <w:basedOn w:val="65"/>
    <w:link w:val="201"/>
    <w:qFormat/>
    <w:uiPriority w:val="0"/>
    <w:rPr>
      <w:rFonts w:ascii="宋体" w:hAnsi="Times New Roman" w:eastAsia="宋体" w:cs="Times New Roman"/>
      <w:kern w:val="0"/>
      <w:szCs w:val="20"/>
    </w:rPr>
  </w:style>
  <w:style w:type="paragraph" w:customStyle="1" w:styleId="203">
    <w:name w:val="样式 样式 宋体 小四 行距: 多倍行距 1.4 字行 + 首行缩进:  2 字符"/>
    <w:basedOn w:val="1"/>
    <w:qFormat/>
    <w:uiPriority w:val="0"/>
    <w:pPr>
      <w:spacing w:line="360" w:lineRule="auto"/>
      <w:ind w:firstLine="200" w:firstLineChars="200"/>
    </w:pPr>
    <w:rPr>
      <w:rFonts w:ascii="宋体" w:hAnsi="宋体" w:eastAsia="宋体" w:cs="Times New Roman"/>
      <w:kern w:val="28"/>
      <w:sz w:val="28"/>
      <w:szCs w:val="20"/>
    </w:rPr>
  </w:style>
  <w:style w:type="paragraph" w:customStyle="1" w:styleId="204">
    <w:name w:val="中文表标题"/>
    <w:basedOn w:val="1"/>
    <w:next w:val="1"/>
    <w:qFormat/>
    <w:uiPriority w:val="0"/>
    <w:pPr>
      <w:keepNext/>
      <w:widowControl/>
      <w:overflowPunct w:val="0"/>
      <w:adjustRightInd w:val="0"/>
      <w:snapToGrid w:val="0"/>
      <w:spacing w:before="480" w:after="360" w:line="500" w:lineRule="exact"/>
      <w:jc w:val="center"/>
      <w:textAlignment w:val="baseline"/>
    </w:pPr>
    <w:rPr>
      <w:rFonts w:ascii="Times New Roman" w:hAnsi="Times New Roman" w:eastAsia="楷体_GB2312" w:cs="Times New Roman"/>
      <w:kern w:val="0"/>
      <w:sz w:val="28"/>
      <w:szCs w:val="20"/>
    </w:rPr>
  </w:style>
  <w:style w:type="paragraph" w:customStyle="1" w:styleId="205">
    <w:name w:val="文件"/>
    <w:basedOn w:val="1"/>
    <w:qFormat/>
    <w:uiPriority w:val="0"/>
    <w:pPr>
      <w:widowControl/>
      <w:tabs>
        <w:tab w:val="left" w:pos="300"/>
      </w:tabs>
      <w:spacing w:line="360" w:lineRule="auto"/>
      <w:ind w:left="900"/>
    </w:pPr>
    <w:rPr>
      <w:rFonts w:ascii="楷体_GB2312" w:hAnsi="宋体" w:eastAsia="楷体_GB2312" w:cs="Times New Roman"/>
      <w:kern w:val="0"/>
      <w:sz w:val="30"/>
      <w:szCs w:val="24"/>
    </w:rPr>
  </w:style>
  <w:style w:type="paragraph" w:customStyle="1" w:styleId="206">
    <w:name w:val="123"/>
    <w:basedOn w:val="1"/>
    <w:link w:val="207"/>
    <w:uiPriority w:val="0"/>
    <w:pPr>
      <w:pBdr>
        <w:top w:val="single" w:color="auto" w:sz="4" w:space="1"/>
      </w:pBdr>
    </w:pPr>
    <w:rPr>
      <w:rFonts w:ascii="楷体_GB2312" w:hAnsi="Times New Roman" w:eastAsia="楷体_GB2312" w:cs="Times New Roman"/>
      <w:b/>
      <w:sz w:val="18"/>
      <w:szCs w:val="18"/>
    </w:rPr>
  </w:style>
  <w:style w:type="character" w:customStyle="1" w:styleId="207">
    <w:name w:val="123 Char"/>
    <w:basedOn w:val="65"/>
    <w:link w:val="206"/>
    <w:qFormat/>
    <w:uiPriority w:val="0"/>
    <w:rPr>
      <w:rFonts w:ascii="楷体_GB2312" w:hAnsi="Times New Roman" w:eastAsia="楷体_GB2312" w:cs="Times New Roman"/>
      <w:b/>
      <w:sz w:val="18"/>
      <w:szCs w:val="18"/>
    </w:rPr>
  </w:style>
  <w:style w:type="paragraph" w:customStyle="1" w:styleId="20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209">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1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21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FF0000"/>
      <w:kern w:val="0"/>
      <w:sz w:val="20"/>
      <w:szCs w:val="20"/>
    </w:rPr>
  </w:style>
  <w:style w:type="paragraph" w:customStyle="1" w:styleId="212">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213">
    <w:name w:val="xl3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214">
    <w:name w:val="xl32"/>
    <w:basedOn w:val="1"/>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宋体" w:hAnsi="宋体" w:eastAsia="宋体" w:cs="宋体"/>
      <w:color w:val="000000"/>
      <w:kern w:val="0"/>
      <w:sz w:val="20"/>
      <w:szCs w:val="20"/>
    </w:rPr>
  </w:style>
  <w:style w:type="paragraph" w:customStyle="1" w:styleId="215">
    <w:name w:val="xl33"/>
    <w:basedOn w:val="1"/>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216">
    <w:name w:val="xl34"/>
    <w:basedOn w:val="1"/>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217">
    <w:name w:val="xl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宋体" w:hAnsi="宋体" w:eastAsia="宋体" w:cs="宋体"/>
      <w:kern w:val="0"/>
      <w:sz w:val="20"/>
      <w:szCs w:val="20"/>
    </w:rPr>
  </w:style>
  <w:style w:type="paragraph" w:customStyle="1" w:styleId="218">
    <w:name w:val="xl36"/>
    <w:basedOn w:val="1"/>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宋体" w:hAnsi="宋体" w:eastAsia="宋体" w:cs="宋体"/>
      <w:kern w:val="0"/>
      <w:sz w:val="20"/>
      <w:szCs w:val="20"/>
    </w:rPr>
  </w:style>
  <w:style w:type="paragraph" w:customStyle="1" w:styleId="219">
    <w:name w:val="xl37"/>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textAlignment w:val="center"/>
    </w:pPr>
    <w:rPr>
      <w:rFonts w:ascii="Times New Roman" w:hAnsi="Times New Roman" w:eastAsia="宋体" w:cs="Times New Roman"/>
      <w:color w:val="FF0000"/>
      <w:kern w:val="0"/>
      <w:sz w:val="20"/>
      <w:szCs w:val="20"/>
    </w:rPr>
  </w:style>
  <w:style w:type="paragraph" w:customStyle="1" w:styleId="220">
    <w:name w:val="xl38"/>
    <w:basedOn w:val="1"/>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textAlignment w:val="center"/>
    </w:pPr>
    <w:rPr>
      <w:rFonts w:ascii="宋体" w:hAnsi="宋体" w:eastAsia="宋体" w:cs="宋体"/>
      <w:color w:val="FF0000"/>
      <w:kern w:val="0"/>
      <w:sz w:val="20"/>
      <w:szCs w:val="20"/>
    </w:rPr>
  </w:style>
  <w:style w:type="paragraph" w:customStyle="1" w:styleId="221">
    <w:name w:val="xl39"/>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222">
    <w:name w:val="xl4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宋体" w:hAnsi="宋体" w:eastAsia="宋体" w:cs="宋体"/>
      <w:color w:val="FF0000"/>
      <w:kern w:val="0"/>
      <w:sz w:val="20"/>
      <w:szCs w:val="20"/>
    </w:rPr>
  </w:style>
  <w:style w:type="paragraph" w:customStyle="1" w:styleId="223">
    <w:name w:val="xl41"/>
    <w:basedOn w:val="1"/>
    <w:uiPriority w:val="0"/>
    <w:pPr>
      <w:widowControl/>
      <w:shd w:val="clear" w:color="auto" w:fill="FFFFFF"/>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224">
    <w:name w:val="二级标题 Char Char Char"/>
    <w:basedOn w:val="1"/>
    <w:next w:val="1"/>
    <w:qFormat/>
    <w:uiPriority w:val="0"/>
    <w:pPr>
      <w:ind w:firstLine="200" w:firstLineChars="200"/>
    </w:pPr>
    <w:rPr>
      <w:rFonts w:ascii="宋体" w:hAnsi="宋体" w:eastAsia="宋体" w:cs="宋体"/>
      <w:sz w:val="24"/>
      <w:szCs w:val="24"/>
    </w:rPr>
  </w:style>
  <w:style w:type="character" w:customStyle="1" w:styleId="225">
    <w:name w:val="表中文字 Char Char"/>
    <w:basedOn w:val="65"/>
    <w:locked/>
    <w:uiPriority w:val="0"/>
    <w:rPr>
      <w:rFonts w:ascii="宋体" w:hAnsi="Courier New"/>
      <w:kern w:val="2"/>
      <w:sz w:val="21"/>
    </w:rPr>
  </w:style>
  <w:style w:type="paragraph" w:customStyle="1" w:styleId="226">
    <w:name w:val="默认段落字体 Para"/>
    <w:basedOn w:val="1"/>
    <w:uiPriority w:val="0"/>
    <w:rPr>
      <w:rFonts w:ascii="Times New Roman" w:hAnsi="Times New Roman" w:eastAsia="宋体" w:cs="Times New Roman"/>
      <w:szCs w:val="24"/>
    </w:rPr>
  </w:style>
  <w:style w:type="character" w:customStyle="1" w:styleId="227">
    <w:name w:val="J【表头】 Char"/>
    <w:basedOn w:val="65"/>
    <w:link w:val="228"/>
    <w:qFormat/>
    <w:uiPriority w:val="0"/>
    <w:rPr>
      <w:rFonts w:eastAsia="宋体"/>
      <w:b/>
      <w:sz w:val="24"/>
      <w:szCs w:val="24"/>
    </w:rPr>
  </w:style>
  <w:style w:type="paragraph" w:customStyle="1" w:styleId="228">
    <w:name w:val="J【表头】"/>
    <w:basedOn w:val="1"/>
    <w:link w:val="227"/>
    <w:uiPriority w:val="0"/>
    <w:pPr>
      <w:spacing w:line="360" w:lineRule="auto"/>
      <w:jc w:val="center"/>
    </w:pPr>
    <w:rPr>
      <w:rFonts w:eastAsia="宋体"/>
      <w:b/>
      <w:sz w:val="24"/>
      <w:szCs w:val="24"/>
    </w:rPr>
  </w:style>
  <w:style w:type="paragraph" w:customStyle="1" w:styleId="229">
    <w:name w:val="J【表中文字】"/>
    <w:basedOn w:val="1"/>
    <w:uiPriority w:val="0"/>
    <w:pPr>
      <w:jc w:val="center"/>
      <w:textAlignment w:val="center"/>
    </w:pPr>
    <w:rPr>
      <w:rFonts w:ascii="Times New Roman" w:hAnsi="Times New Roman" w:eastAsia="宋体" w:cs="宋体"/>
      <w:szCs w:val="21"/>
    </w:rPr>
  </w:style>
  <w:style w:type="paragraph" w:customStyle="1" w:styleId="230">
    <w:name w:val="5正文J（1）"/>
    <w:basedOn w:val="1"/>
    <w:semiHidden/>
    <w:qFormat/>
    <w:uiPriority w:val="0"/>
    <w:pPr>
      <w:spacing w:line="360" w:lineRule="auto"/>
      <w:ind w:firstLine="180" w:firstLineChars="75"/>
    </w:pPr>
    <w:rPr>
      <w:rFonts w:ascii="Times New Roman" w:hAnsi="Times New Roman" w:eastAsia="宋体" w:cs="Times New Roman"/>
      <w:sz w:val="24"/>
      <w:szCs w:val="24"/>
    </w:rPr>
  </w:style>
  <w:style w:type="paragraph" w:customStyle="1" w:styleId="231">
    <w:name w:val="Char Char Char Char1 Char Char Char Char Char Char Char Char"/>
    <w:basedOn w:val="1"/>
    <w:next w:val="1"/>
    <w:semiHidden/>
    <w:qFormat/>
    <w:uiPriority w:val="0"/>
    <w:pPr>
      <w:spacing w:line="360" w:lineRule="auto"/>
      <w:ind w:firstLine="200" w:firstLineChars="200"/>
    </w:pPr>
    <w:rPr>
      <w:rFonts w:ascii="宋体" w:hAnsi="宋体" w:eastAsia="宋体" w:cs="宋体"/>
      <w:sz w:val="24"/>
      <w:szCs w:val="24"/>
    </w:rPr>
  </w:style>
  <w:style w:type="paragraph" w:customStyle="1" w:styleId="232">
    <w:name w:val="Char Char Char Char Char Char Char Char Char Char Char Char Char Char Char Char"/>
    <w:basedOn w:val="1"/>
    <w:qFormat/>
    <w:uiPriority w:val="0"/>
    <w:rPr>
      <w:rFonts w:ascii="Tahoma" w:hAnsi="Tahoma" w:eastAsia="宋体" w:cs="Times New Roman"/>
      <w:sz w:val="24"/>
      <w:szCs w:val="24"/>
    </w:rPr>
  </w:style>
  <w:style w:type="paragraph" w:customStyle="1" w:styleId="233">
    <w:name w:val="样式 楷体_GB2312 小四 居中 行距: 单倍行距"/>
    <w:basedOn w:val="1"/>
    <w:link w:val="234"/>
    <w:uiPriority w:val="0"/>
    <w:pPr>
      <w:jc w:val="center"/>
    </w:pPr>
    <w:rPr>
      <w:rFonts w:ascii="Times New Roman" w:hAnsi="Times New Roman" w:eastAsia="楷体_GB2312" w:cs="宋体"/>
      <w:sz w:val="24"/>
      <w:szCs w:val="24"/>
    </w:rPr>
  </w:style>
  <w:style w:type="character" w:customStyle="1" w:styleId="234">
    <w:name w:val="样式 楷体_GB2312 小四 居中 行距: 单倍行距 Char"/>
    <w:basedOn w:val="65"/>
    <w:link w:val="233"/>
    <w:qFormat/>
    <w:uiPriority w:val="0"/>
    <w:rPr>
      <w:rFonts w:ascii="Times New Roman" w:hAnsi="Times New Roman" w:eastAsia="楷体_GB2312" w:cs="宋体"/>
      <w:sz w:val="24"/>
      <w:szCs w:val="24"/>
    </w:rPr>
  </w:style>
  <w:style w:type="paragraph" w:customStyle="1" w:styleId="235">
    <w:name w:val="样式 样式 楷体_GB2312 小四 居中 行距: 单倍行距 + 宋体"/>
    <w:basedOn w:val="233"/>
    <w:link w:val="236"/>
    <w:qFormat/>
    <w:uiPriority w:val="0"/>
  </w:style>
  <w:style w:type="character" w:customStyle="1" w:styleId="236">
    <w:name w:val="样式 样式 楷体_GB2312 小四 居中 行距: 单倍行距 + 宋体 Char"/>
    <w:basedOn w:val="234"/>
    <w:link w:val="235"/>
    <w:qFormat/>
    <w:uiPriority w:val="0"/>
    <w:rPr>
      <w:rFonts w:ascii="Times New Roman" w:hAnsi="Times New Roman" w:eastAsia="楷体_GB2312" w:cs="宋体"/>
      <w:sz w:val="24"/>
      <w:szCs w:val="24"/>
    </w:rPr>
  </w:style>
  <w:style w:type="paragraph" w:customStyle="1" w:styleId="237">
    <w:name w:val="样式 样式 样式 楷体_GB2312 小四 居中 行距: 单倍行距 + 宋体 + 楷体_GB2312"/>
    <w:basedOn w:val="235"/>
    <w:uiPriority w:val="0"/>
  </w:style>
  <w:style w:type="paragraph" w:customStyle="1" w:styleId="238">
    <w:name w:val="Char Char Char1 Char"/>
    <w:basedOn w:val="1"/>
    <w:semiHidden/>
    <w:qFormat/>
    <w:uiPriority w:val="0"/>
    <w:rPr>
      <w:rFonts w:ascii="Times New Roman" w:hAnsi="Times New Roman" w:eastAsia="宋体" w:cs="Times New Roman"/>
      <w:szCs w:val="24"/>
    </w:rPr>
  </w:style>
  <w:style w:type="paragraph" w:customStyle="1" w:styleId="239">
    <w:name w:val="正文文本 21"/>
    <w:basedOn w:val="1"/>
    <w:uiPriority w:val="0"/>
    <w:pPr>
      <w:adjustRightInd w:val="0"/>
      <w:ind w:firstLine="573"/>
      <w:jc w:val="left"/>
      <w:textAlignment w:val="baseline"/>
    </w:pPr>
    <w:rPr>
      <w:rFonts w:ascii="楷体_GB2312" w:hAnsi="Times New Roman" w:eastAsia="宋体" w:cs="Times New Roman"/>
      <w:sz w:val="28"/>
      <w:szCs w:val="20"/>
    </w:rPr>
  </w:style>
  <w:style w:type="paragraph" w:customStyle="1" w:styleId="240">
    <w:name w:val="二级"/>
    <w:link w:val="241"/>
    <w:uiPriority w:val="0"/>
    <w:pPr>
      <w:spacing w:beforeLines="50" w:afterLines="50"/>
      <w:outlineLvl w:val="1"/>
    </w:pPr>
    <w:rPr>
      <w:rFonts w:ascii="Times New Roman" w:hAnsi="Times New Roman" w:eastAsia="宋体" w:cs="Arial"/>
      <w:b/>
      <w:bCs/>
      <w:kern w:val="2"/>
      <w:sz w:val="32"/>
      <w:szCs w:val="32"/>
      <w:lang w:val="en-US" w:eastAsia="zh-CN" w:bidi="ar-SA"/>
    </w:rPr>
  </w:style>
  <w:style w:type="character" w:customStyle="1" w:styleId="241">
    <w:name w:val="二级 Char"/>
    <w:basedOn w:val="65"/>
    <w:link w:val="240"/>
    <w:qFormat/>
    <w:uiPriority w:val="0"/>
    <w:rPr>
      <w:rFonts w:ascii="Times New Roman" w:hAnsi="Times New Roman" w:eastAsia="宋体" w:cs="Arial"/>
      <w:b/>
      <w:bCs/>
      <w:sz w:val="32"/>
      <w:szCs w:val="32"/>
    </w:rPr>
  </w:style>
  <w:style w:type="paragraph" w:customStyle="1" w:styleId="242">
    <w:name w:val="五级"/>
    <w:basedOn w:val="243"/>
    <w:link w:val="247"/>
    <w:uiPriority w:val="0"/>
    <w:pPr>
      <w:outlineLvl w:val="4"/>
    </w:pPr>
  </w:style>
  <w:style w:type="paragraph" w:customStyle="1" w:styleId="243">
    <w:name w:val="四级"/>
    <w:link w:val="244"/>
    <w:uiPriority w:val="0"/>
    <w:pPr>
      <w:outlineLvl w:val="3"/>
    </w:pPr>
    <w:rPr>
      <w:rFonts w:ascii="Times New Roman" w:hAnsi="Times New Roman" w:eastAsia="宋体" w:cs="Arial"/>
      <w:b/>
      <w:bCs/>
      <w:kern w:val="2"/>
      <w:sz w:val="32"/>
      <w:szCs w:val="32"/>
      <w:lang w:val="en-US" w:eastAsia="zh-CN" w:bidi="ar-SA"/>
    </w:rPr>
  </w:style>
  <w:style w:type="character" w:customStyle="1" w:styleId="244">
    <w:name w:val="四级 Char"/>
    <w:basedOn w:val="245"/>
    <w:link w:val="243"/>
    <w:qFormat/>
    <w:uiPriority w:val="0"/>
    <w:rPr>
      <w:rFonts w:ascii="Times New Roman" w:hAnsi="Times New Roman" w:eastAsia="宋体" w:cs="Arial"/>
      <w:sz w:val="32"/>
      <w:szCs w:val="32"/>
    </w:rPr>
  </w:style>
  <w:style w:type="character" w:customStyle="1" w:styleId="245">
    <w:name w:val="三级 Char"/>
    <w:basedOn w:val="241"/>
    <w:link w:val="246"/>
    <w:qFormat/>
    <w:uiPriority w:val="0"/>
    <w:rPr>
      <w:rFonts w:ascii="Times New Roman" w:hAnsi="Times New Roman" w:eastAsia="宋体" w:cs="Arial"/>
      <w:sz w:val="32"/>
      <w:szCs w:val="32"/>
    </w:rPr>
  </w:style>
  <w:style w:type="paragraph" w:customStyle="1" w:styleId="246">
    <w:name w:val="三级"/>
    <w:basedOn w:val="3"/>
    <w:link w:val="245"/>
    <w:uiPriority w:val="0"/>
    <w:pPr>
      <w:pBdr>
        <w:bottom w:val="none" w:color="auto" w:sz="0" w:space="0"/>
      </w:pBdr>
      <w:adjustRightInd w:val="0"/>
      <w:snapToGrid w:val="0"/>
      <w:spacing w:beforeLines="50" w:afterLines="50"/>
      <w:contextualSpacing w:val="0"/>
      <w:outlineLvl w:val="2"/>
    </w:pPr>
    <w:rPr>
      <w:rFonts w:cs="Arial"/>
      <w:b w:val="0"/>
      <w:bCs/>
      <w:color w:val="auto"/>
      <w:spacing w:val="0"/>
      <w:kern w:val="2"/>
      <w:sz w:val="32"/>
      <w:szCs w:val="32"/>
    </w:rPr>
  </w:style>
  <w:style w:type="character" w:customStyle="1" w:styleId="247">
    <w:name w:val="五级 Char"/>
    <w:basedOn w:val="244"/>
    <w:link w:val="242"/>
    <w:qFormat/>
    <w:uiPriority w:val="0"/>
    <w:rPr>
      <w:rFonts w:ascii="Times New Roman" w:hAnsi="Times New Roman" w:eastAsia="宋体" w:cs="Arial"/>
      <w:sz w:val="32"/>
      <w:szCs w:val="32"/>
    </w:rPr>
  </w:style>
  <w:style w:type="paragraph" w:customStyle="1" w:styleId="248">
    <w:name w:val="默认段落字体 Para Char"/>
    <w:basedOn w:val="1"/>
    <w:qFormat/>
    <w:uiPriority w:val="0"/>
    <w:pPr>
      <w:numPr>
        <w:ilvl w:val="0"/>
        <w:numId w:val="2"/>
      </w:numPr>
      <w:tabs>
        <w:tab w:val="clear" w:pos="1211"/>
      </w:tabs>
      <w:spacing w:line="360" w:lineRule="auto"/>
      <w:ind w:left="0" w:firstLine="200" w:firstLineChars="200"/>
    </w:pPr>
    <w:rPr>
      <w:rFonts w:ascii="Times New Roman" w:hAnsi="Times New Roman" w:eastAsia="宋体" w:cs="Times New Roman"/>
      <w:szCs w:val="20"/>
    </w:rPr>
  </w:style>
  <w:style w:type="paragraph" w:customStyle="1" w:styleId="249">
    <w:name w:val="222"/>
    <w:basedOn w:val="4"/>
    <w:link w:val="250"/>
    <w:uiPriority w:val="0"/>
    <w:pPr>
      <w:keepLines w:val="0"/>
      <w:ind w:left="0" w:firstLine="0" w:firstLineChars="0"/>
    </w:pPr>
    <w:rPr>
      <w:rFonts w:cs="宋体"/>
      <w:bCs/>
      <w:spacing w:val="0"/>
      <w:kern w:val="2"/>
      <w:szCs w:val="28"/>
    </w:rPr>
  </w:style>
  <w:style w:type="character" w:customStyle="1" w:styleId="250">
    <w:name w:val="222 Char"/>
    <w:basedOn w:val="65"/>
    <w:link w:val="249"/>
    <w:qFormat/>
    <w:uiPriority w:val="0"/>
    <w:rPr>
      <w:rFonts w:ascii="Arial" w:hAnsi="Arial" w:eastAsia="楷体_GB2312" w:cs="宋体"/>
      <w:b/>
      <w:bCs/>
      <w:sz w:val="28"/>
      <w:szCs w:val="28"/>
    </w:rPr>
  </w:style>
  <w:style w:type="paragraph" w:customStyle="1" w:styleId="251">
    <w:name w:val="555"/>
    <w:basedOn w:val="1"/>
    <w:link w:val="252"/>
    <w:qFormat/>
    <w:uiPriority w:val="0"/>
    <w:pPr>
      <w:spacing w:line="360" w:lineRule="auto"/>
      <w:ind w:firstLine="527" w:firstLineChars="200"/>
    </w:pPr>
    <w:rPr>
      <w:rFonts w:ascii="Arial" w:hAnsi="Arial" w:eastAsia="楷体_GB2312" w:cs="宋体"/>
      <w:sz w:val="28"/>
      <w:szCs w:val="20"/>
    </w:rPr>
  </w:style>
  <w:style w:type="character" w:customStyle="1" w:styleId="252">
    <w:name w:val="555 Char"/>
    <w:basedOn w:val="65"/>
    <w:link w:val="251"/>
    <w:qFormat/>
    <w:uiPriority w:val="0"/>
    <w:rPr>
      <w:rFonts w:ascii="Arial" w:hAnsi="Arial" w:eastAsia="楷体_GB2312" w:cs="宋体"/>
      <w:sz w:val="28"/>
      <w:szCs w:val="20"/>
    </w:rPr>
  </w:style>
  <w:style w:type="paragraph" w:customStyle="1" w:styleId="253">
    <w:name w:val="444"/>
    <w:basedOn w:val="34"/>
    <w:link w:val="254"/>
    <w:qFormat/>
    <w:uiPriority w:val="0"/>
    <w:pPr>
      <w:spacing w:line="360" w:lineRule="auto"/>
    </w:pPr>
    <w:rPr>
      <w:rFonts w:ascii="Arial" w:hAnsi="Arial" w:eastAsia="楷体_GB2312" w:cs="宋体"/>
      <w:b/>
      <w:bCs/>
      <w:sz w:val="28"/>
    </w:rPr>
  </w:style>
  <w:style w:type="character" w:customStyle="1" w:styleId="254">
    <w:name w:val="444 Char"/>
    <w:basedOn w:val="168"/>
    <w:link w:val="253"/>
    <w:qFormat/>
    <w:uiPriority w:val="0"/>
    <w:rPr>
      <w:rFonts w:ascii="Arial" w:hAnsi="Arial" w:eastAsia="楷体_GB2312" w:cs="宋体"/>
      <w:b/>
      <w:bCs/>
      <w:kern w:val="2"/>
      <w:sz w:val="28"/>
      <w:szCs w:val="20"/>
      <w:lang w:val="en-US" w:eastAsia="zh-CN" w:bidi="ar-SA"/>
    </w:rPr>
  </w:style>
  <w:style w:type="paragraph" w:customStyle="1" w:styleId="255">
    <w:name w:val="333"/>
    <w:basedOn w:val="253"/>
    <w:link w:val="256"/>
    <w:uiPriority w:val="0"/>
    <w:pPr>
      <w:ind w:firstLine="132" w:firstLineChars="50"/>
    </w:pPr>
  </w:style>
  <w:style w:type="character" w:customStyle="1" w:styleId="256">
    <w:name w:val="333 Char"/>
    <w:basedOn w:val="254"/>
    <w:link w:val="255"/>
    <w:qFormat/>
    <w:uiPriority w:val="0"/>
    <w:rPr>
      <w:rFonts w:ascii="Arial" w:hAnsi="Arial" w:eastAsia="楷体_GB2312" w:cs="宋体"/>
      <w:kern w:val="2"/>
      <w:sz w:val="28"/>
      <w:szCs w:val="20"/>
      <w:lang w:val="en-US" w:eastAsia="zh-CN" w:bidi="ar-SA"/>
    </w:rPr>
  </w:style>
  <w:style w:type="paragraph" w:customStyle="1" w:styleId="257">
    <w:name w:val="000"/>
    <w:basedOn w:val="1"/>
    <w:link w:val="572"/>
    <w:uiPriority w:val="0"/>
    <w:pPr>
      <w:ind w:firstLine="2" w:firstLineChars="2"/>
      <w:jc w:val="center"/>
    </w:pPr>
    <w:rPr>
      <w:rFonts w:ascii="Arial" w:hAnsi="Arial" w:eastAsia="楷体_GB2312" w:cs="宋体"/>
      <w:color w:val="000000"/>
      <w:sz w:val="24"/>
      <w:szCs w:val="20"/>
    </w:rPr>
  </w:style>
  <w:style w:type="paragraph" w:customStyle="1" w:styleId="258">
    <w:name w:val="表格内容005"/>
    <w:basedOn w:val="1"/>
    <w:qFormat/>
    <w:uiPriority w:val="0"/>
    <w:pPr>
      <w:tabs>
        <w:tab w:val="left" w:pos="3700"/>
      </w:tabs>
      <w:adjustRightInd w:val="0"/>
      <w:snapToGrid w:val="0"/>
      <w:spacing w:line="360" w:lineRule="auto"/>
      <w:jc w:val="center"/>
    </w:pPr>
    <w:rPr>
      <w:rFonts w:ascii="楷体_GB2312" w:hAnsi="Arial" w:eastAsia="楷体_GB2312" w:cs="楷体_GB2312"/>
      <w:bCs/>
      <w:color w:val="FF6600"/>
      <w:spacing w:val="-24"/>
      <w:szCs w:val="21"/>
    </w:rPr>
  </w:style>
  <w:style w:type="paragraph" w:customStyle="1" w:styleId="259">
    <w:name w:val="标题003"/>
    <w:basedOn w:val="5"/>
    <w:link w:val="260"/>
    <w:qFormat/>
    <w:uiPriority w:val="0"/>
    <w:pPr>
      <w:adjustRightInd w:val="0"/>
      <w:ind w:firstLine="562" w:firstLineChars="200"/>
    </w:pPr>
    <w:rPr>
      <w:rFonts w:ascii="宋体" w:hAnsi="Monospac821 BT"/>
    </w:rPr>
  </w:style>
  <w:style w:type="character" w:customStyle="1" w:styleId="260">
    <w:name w:val="标题003 Char"/>
    <w:basedOn w:val="65"/>
    <w:link w:val="259"/>
    <w:qFormat/>
    <w:uiPriority w:val="0"/>
    <w:rPr>
      <w:rFonts w:ascii="宋体" w:hAnsi="Monospac821 BT" w:eastAsia="楷体_GB2312" w:cs="Times New Roman"/>
      <w:b/>
      <w:bCs/>
      <w:color w:val="000000"/>
      <w:sz w:val="28"/>
      <w:szCs w:val="24"/>
    </w:rPr>
  </w:style>
  <w:style w:type="paragraph" w:customStyle="1" w:styleId="261">
    <w:name w:val="正文01"/>
    <w:basedOn w:val="1"/>
    <w:link w:val="262"/>
    <w:qFormat/>
    <w:uiPriority w:val="0"/>
    <w:pPr>
      <w:adjustRightInd w:val="0"/>
      <w:snapToGrid w:val="0"/>
      <w:spacing w:line="360" w:lineRule="auto"/>
    </w:pPr>
    <w:rPr>
      <w:rFonts w:ascii="Arial" w:hAnsi="Arial" w:eastAsia="楷体_GB2312" w:cs="宋体"/>
      <w:b/>
      <w:color w:val="000000"/>
      <w:sz w:val="28"/>
      <w:szCs w:val="20"/>
    </w:rPr>
  </w:style>
  <w:style w:type="character" w:customStyle="1" w:styleId="262">
    <w:name w:val="正文01 Char"/>
    <w:basedOn w:val="65"/>
    <w:link w:val="261"/>
    <w:qFormat/>
    <w:uiPriority w:val="0"/>
    <w:rPr>
      <w:rFonts w:ascii="Arial" w:hAnsi="Arial" w:eastAsia="楷体_GB2312" w:cs="宋体"/>
      <w:b/>
      <w:color w:val="000000"/>
      <w:sz w:val="28"/>
      <w:szCs w:val="20"/>
    </w:rPr>
  </w:style>
  <w:style w:type="paragraph" w:customStyle="1" w:styleId="263">
    <w:name w:val="表格标题004"/>
    <w:basedOn w:val="1"/>
    <w:link w:val="264"/>
    <w:uiPriority w:val="0"/>
    <w:pPr>
      <w:adjustRightInd w:val="0"/>
      <w:snapToGrid w:val="0"/>
      <w:spacing w:line="360" w:lineRule="auto"/>
      <w:jc w:val="center"/>
    </w:pPr>
    <w:rPr>
      <w:rFonts w:ascii="Arial" w:hAnsi="Arial" w:eastAsia="楷体_GB2312" w:cs="宋体"/>
      <w:b/>
      <w:color w:val="000000"/>
      <w:spacing w:val="20"/>
      <w:sz w:val="28"/>
      <w:szCs w:val="28"/>
    </w:rPr>
  </w:style>
  <w:style w:type="character" w:customStyle="1" w:styleId="264">
    <w:name w:val="表格标题004 Char"/>
    <w:basedOn w:val="65"/>
    <w:link w:val="263"/>
    <w:qFormat/>
    <w:uiPriority w:val="0"/>
    <w:rPr>
      <w:rFonts w:ascii="Arial" w:hAnsi="Arial" w:eastAsia="楷体_GB2312" w:cs="宋体"/>
      <w:b/>
      <w:color w:val="000000"/>
      <w:spacing w:val="20"/>
      <w:sz w:val="28"/>
      <w:szCs w:val="28"/>
    </w:rPr>
  </w:style>
  <w:style w:type="paragraph" w:customStyle="1" w:styleId="265">
    <w:name w:val="样式 (西文) 楷体_GB2312 (中文) 楷体_GB2312 (符号) Arial 四号 黑色 首行缩进:  2 ..."/>
    <w:basedOn w:val="1"/>
    <w:uiPriority w:val="0"/>
    <w:pPr>
      <w:adjustRightInd w:val="0"/>
      <w:snapToGrid w:val="0"/>
      <w:spacing w:line="360" w:lineRule="auto"/>
      <w:ind w:firstLine="560" w:firstLineChars="200"/>
    </w:pPr>
    <w:rPr>
      <w:rFonts w:ascii="Arial" w:hAnsi="Arial" w:eastAsia="楷体_GB2312" w:cs="宋体"/>
      <w:color w:val="000000"/>
      <w:sz w:val="28"/>
      <w:szCs w:val="28"/>
    </w:rPr>
  </w:style>
  <w:style w:type="character" w:customStyle="1" w:styleId="266">
    <w:name w:val="普通文字 Char Char1"/>
    <w:basedOn w:val="65"/>
    <w:qFormat/>
    <w:uiPriority w:val="0"/>
    <w:rPr>
      <w:rFonts w:ascii="宋体" w:hAnsi="Courier New" w:eastAsia="宋体" w:cs="Courier New"/>
      <w:b/>
      <w:iCs/>
      <w:kern w:val="32"/>
      <w:sz w:val="21"/>
      <w:szCs w:val="21"/>
      <w:lang w:val="en-US" w:eastAsia="zh-CN" w:bidi="ar-SA"/>
    </w:rPr>
  </w:style>
  <w:style w:type="paragraph" w:customStyle="1" w:styleId="267">
    <w:name w:val="样式 JWJ-3 + 右侧:  0.14 厘米"/>
    <w:basedOn w:val="1"/>
    <w:semiHidden/>
    <w:qFormat/>
    <w:uiPriority w:val="0"/>
    <w:pPr>
      <w:tabs>
        <w:tab w:val="left" w:pos="960"/>
      </w:tabs>
      <w:adjustRightInd w:val="0"/>
      <w:spacing w:line="360" w:lineRule="auto"/>
      <w:ind w:left="524" w:right="79" w:hanging="284"/>
      <w:textAlignment w:val="baseline"/>
    </w:pPr>
    <w:rPr>
      <w:rFonts w:ascii="Times New Roman" w:hAnsi="Times New Roman" w:eastAsia="宋体" w:cs="宋体"/>
      <w:kern w:val="0"/>
      <w:sz w:val="24"/>
      <w:szCs w:val="20"/>
    </w:rPr>
  </w:style>
  <w:style w:type="character" w:customStyle="1" w:styleId="268">
    <w:name w:val="正文JWJ Char"/>
    <w:basedOn w:val="65"/>
    <w:link w:val="269"/>
    <w:semiHidden/>
    <w:qFormat/>
    <w:uiPriority w:val="0"/>
    <w:rPr>
      <w:rFonts w:eastAsia="宋体"/>
      <w:sz w:val="24"/>
      <w:szCs w:val="24"/>
    </w:rPr>
  </w:style>
  <w:style w:type="paragraph" w:customStyle="1" w:styleId="269">
    <w:name w:val="正文JWJ"/>
    <w:basedOn w:val="1"/>
    <w:link w:val="268"/>
    <w:semiHidden/>
    <w:qFormat/>
    <w:uiPriority w:val="0"/>
    <w:pPr>
      <w:spacing w:line="360" w:lineRule="auto"/>
      <w:ind w:firstLine="480" w:firstLineChars="200"/>
    </w:pPr>
    <w:rPr>
      <w:rFonts w:eastAsia="宋体"/>
      <w:sz w:val="24"/>
      <w:szCs w:val="24"/>
    </w:rPr>
  </w:style>
  <w:style w:type="paragraph" w:customStyle="1" w:styleId="270">
    <w:name w:val="投标文件正文"/>
    <w:basedOn w:val="1"/>
    <w:uiPriority w:val="0"/>
    <w:pPr>
      <w:spacing w:line="400" w:lineRule="exact"/>
      <w:ind w:right="33" w:firstLine="480" w:firstLineChars="200"/>
      <w:jc w:val="left"/>
    </w:pPr>
    <w:rPr>
      <w:rFonts w:ascii="Arial" w:hAnsi="Arial" w:eastAsia="宋体" w:cs="Times New Roman"/>
      <w:iCs/>
      <w:color w:val="000000"/>
      <w:sz w:val="24"/>
      <w:szCs w:val="20"/>
    </w:rPr>
  </w:style>
  <w:style w:type="paragraph" w:customStyle="1" w:styleId="271">
    <w:name w:val="表格侧编号"/>
    <w:next w:val="1"/>
    <w:uiPriority w:val="0"/>
    <w:pPr>
      <w:widowControl w:val="0"/>
      <w:adjustRightInd w:val="0"/>
      <w:spacing w:before="120"/>
      <w:jc w:val="center"/>
      <w:textAlignment w:val="baseline"/>
    </w:pPr>
    <w:rPr>
      <w:rFonts w:ascii="宋体" w:hAnsi="Times New Roman" w:eastAsia="宋体" w:cs="Times New Roman"/>
      <w:sz w:val="24"/>
      <w:lang w:val="en-US" w:eastAsia="zh-CN" w:bidi="ar-SA"/>
    </w:rPr>
  </w:style>
  <w:style w:type="character" w:customStyle="1" w:styleId="272">
    <w:name w:val="文字缩进 Char"/>
    <w:basedOn w:val="65"/>
    <w:qFormat/>
    <w:uiPriority w:val="0"/>
    <w:rPr>
      <w:rFonts w:ascii="宋体" w:hAnsi="Courier New" w:eastAsia="宋体" w:cs="Courier New"/>
      <w:sz w:val="21"/>
      <w:szCs w:val="21"/>
      <w:lang w:val="en-US" w:eastAsia="zh-CN" w:bidi="ar-SA"/>
    </w:rPr>
  </w:style>
  <w:style w:type="character" w:customStyle="1" w:styleId="273">
    <w:name w:val="注释标题 字符"/>
    <w:basedOn w:val="65"/>
    <w:link w:val="15"/>
    <w:qFormat/>
    <w:uiPriority w:val="0"/>
    <w:rPr>
      <w:rFonts w:ascii="Times New Roman" w:hAnsi="Times New Roman" w:eastAsia="宋体" w:cs="Times New Roman"/>
      <w:szCs w:val="20"/>
    </w:rPr>
  </w:style>
  <w:style w:type="paragraph" w:customStyle="1" w:styleId="274">
    <w:name w:val="标题3"/>
    <w:basedOn w:val="5"/>
    <w:uiPriority w:val="0"/>
    <w:pPr>
      <w:ind w:firstLine="480" w:firstLineChars="200"/>
    </w:pPr>
    <w:rPr>
      <w:b w:val="0"/>
      <w:sz w:val="24"/>
    </w:rPr>
  </w:style>
  <w:style w:type="paragraph" w:customStyle="1" w:styleId="275">
    <w:name w:val="附件正文"/>
    <w:qFormat/>
    <w:uiPriority w:val="0"/>
    <w:pPr>
      <w:spacing w:after="100" w:afterAutospacing="1" w:line="440" w:lineRule="exact"/>
      <w:ind w:left="448" w:firstLine="459"/>
      <w:jc w:val="both"/>
    </w:pPr>
    <w:rPr>
      <w:rFonts w:ascii="Times New Roman" w:hAnsi="Times New Roman" w:eastAsia="宋体" w:cs="Times New Roman"/>
      <w:snapToGrid w:val="0"/>
      <w:sz w:val="24"/>
      <w:szCs w:val="24"/>
      <w:lang w:val="en-US" w:eastAsia="zh-CN" w:bidi="ar-SA"/>
    </w:rPr>
  </w:style>
  <w:style w:type="paragraph" w:customStyle="1" w:styleId="276">
    <w:name w:val="表内容中"/>
    <w:basedOn w:val="38"/>
    <w:qFormat/>
    <w:uiPriority w:val="0"/>
    <w:pPr>
      <w:widowControl w:val="0"/>
      <w:jc w:val="center"/>
    </w:pPr>
    <w:rPr>
      <w:rFonts w:ascii="楷体_GB2312" w:hAnsi="宋体" w:eastAsia="楷体_GB2312"/>
      <w:color w:val="000000"/>
      <w:kern w:val="2"/>
    </w:rPr>
  </w:style>
  <w:style w:type="paragraph" w:customStyle="1" w:styleId="277">
    <w:name w:val="我的正文"/>
    <w:basedOn w:val="1"/>
    <w:link w:val="278"/>
    <w:qFormat/>
    <w:uiPriority w:val="0"/>
    <w:pPr>
      <w:widowControl/>
      <w:spacing w:line="500" w:lineRule="atLeast"/>
      <w:ind w:firstLine="200" w:firstLineChars="200"/>
    </w:pPr>
    <w:rPr>
      <w:rFonts w:ascii="Arial" w:hAnsi="Arial" w:eastAsia="宋体" w:cs="宋体"/>
      <w:kern w:val="0"/>
      <w:sz w:val="28"/>
      <w:szCs w:val="28"/>
      <w:lang w:val="zh-CN"/>
    </w:rPr>
  </w:style>
  <w:style w:type="character" w:customStyle="1" w:styleId="278">
    <w:name w:val="我的正文 Char"/>
    <w:link w:val="277"/>
    <w:qFormat/>
    <w:uiPriority w:val="0"/>
    <w:rPr>
      <w:rFonts w:ascii="Arial" w:hAnsi="Arial" w:eastAsia="宋体" w:cs="宋体"/>
      <w:kern w:val="0"/>
      <w:sz w:val="28"/>
      <w:szCs w:val="28"/>
      <w:lang w:val="zh-CN"/>
    </w:rPr>
  </w:style>
  <w:style w:type="character" w:customStyle="1" w:styleId="279">
    <w:name w:val="Char Char10"/>
    <w:basedOn w:val="65"/>
    <w:qFormat/>
    <w:uiPriority w:val="0"/>
    <w:rPr>
      <w:rFonts w:eastAsia="宋体"/>
      <w:kern w:val="2"/>
      <w:sz w:val="18"/>
      <w:szCs w:val="18"/>
      <w:lang w:val="en-US" w:eastAsia="zh-CN" w:bidi="ar-SA"/>
    </w:rPr>
  </w:style>
  <w:style w:type="paragraph" w:customStyle="1" w:styleId="280">
    <w:name w:val="Char1 Char Char Char Char Char Char Char Char Char"/>
    <w:basedOn w:val="1"/>
    <w:qFormat/>
    <w:uiPriority w:val="0"/>
    <w:rPr>
      <w:rFonts w:ascii="Times New Roman" w:hAnsi="Times New Roman" w:eastAsia="宋体" w:cs="Times New Roman"/>
      <w:szCs w:val="24"/>
    </w:rPr>
  </w:style>
  <w:style w:type="character" w:customStyle="1" w:styleId="281">
    <w:name w:val="正文文字 Char Char1"/>
    <w:basedOn w:val="65"/>
    <w:qFormat/>
    <w:uiPriority w:val="0"/>
    <w:rPr>
      <w:rFonts w:eastAsia="宋体"/>
      <w:kern w:val="2"/>
      <w:sz w:val="24"/>
      <w:lang w:val="en-US" w:eastAsia="zh-CN" w:bidi="ar-SA"/>
    </w:rPr>
  </w:style>
  <w:style w:type="paragraph" w:styleId="282">
    <w:name w:val="List Paragraph"/>
    <w:basedOn w:val="1"/>
    <w:qFormat/>
    <w:uiPriority w:val="34"/>
    <w:pPr>
      <w:ind w:firstLine="420" w:firstLineChars="200"/>
    </w:pPr>
  </w:style>
  <w:style w:type="character" w:customStyle="1" w:styleId="283">
    <w:name w:val="show-img-bd"/>
    <w:basedOn w:val="65"/>
    <w:qFormat/>
    <w:uiPriority w:val="0"/>
  </w:style>
  <w:style w:type="character" w:customStyle="1" w:styleId="284">
    <w:name w:val="普通(网站) 字符"/>
    <w:basedOn w:val="65"/>
    <w:link w:val="57"/>
    <w:qFormat/>
    <w:uiPriority w:val="99"/>
    <w:rPr>
      <w:rFonts w:ascii="宋体" w:hAnsi="宋体" w:eastAsia="宋体" w:cs="Times New Roman"/>
      <w:color w:val="000000"/>
      <w:kern w:val="0"/>
      <w:sz w:val="30"/>
      <w:szCs w:val="30"/>
    </w:rPr>
  </w:style>
  <w:style w:type="paragraph" w:customStyle="1" w:styleId="285">
    <w:name w:val="0.表头"/>
    <w:basedOn w:val="1"/>
    <w:link w:val="286"/>
    <w:uiPriority w:val="0"/>
    <w:pPr>
      <w:spacing w:beforeLines="50" w:line="520" w:lineRule="exact"/>
      <w:jc w:val="center"/>
    </w:pPr>
    <w:rPr>
      <w:rFonts w:ascii="Times New Roman" w:hAnsi="Times New Roman" w:eastAsia="宋体" w:cs="Times New Roman"/>
    </w:rPr>
  </w:style>
  <w:style w:type="character" w:customStyle="1" w:styleId="286">
    <w:name w:val="0.表头 Char"/>
    <w:basedOn w:val="65"/>
    <w:link w:val="285"/>
    <w:qFormat/>
    <w:uiPriority w:val="0"/>
    <w:rPr>
      <w:rFonts w:ascii="Times New Roman" w:hAnsi="Times New Roman" w:eastAsia="宋体" w:cs="Times New Roman"/>
    </w:rPr>
  </w:style>
  <w:style w:type="paragraph" w:customStyle="1" w:styleId="287">
    <w:name w:val="0.图表"/>
    <w:basedOn w:val="57"/>
    <w:link w:val="288"/>
    <w:uiPriority w:val="0"/>
    <w:pPr>
      <w:spacing w:beforeLines="50" w:beforeAutospacing="0" w:after="0" w:afterAutospacing="0" w:line="360" w:lineRule="auto"/>
      <w:jc w:val="center"/>
    </w:pPr>
    <w:rPr>
      <w:rFonts w:hint="default" w:ascii="Times New Roman" w:hAnsi="Times New Roman" w:cs="Arial"/>
      <w:sz w:val="24"/>
      <w:szCs w:val="21"/>
    </w:rPr>
  </w:style>
  <w:style w:type="character" w:customStyle="1" w:styleId="288">
    <w:name w:val="0.图表 Char"/>
    <w:basedOn w:val="65"/>
    <w:link w:val="287"/>
    <w:qFormat/>
    <w:uiPriority w:val="0"/>
    <w:rPr>
      <w:rFonts w:ascii="Times New Roman" w:hAnsi="Times New Roman" w:eastAsia="宋体" w:cs="Arial"/>
      <w:color w:val="000000"/>
      <w:kern w:val="0"/>
      <w:sz w:val="24"/>
      <w:szCs w:val="21"/>
    </w:rPr>
  </w:style>
  <w:style w:type="paragraph" w:customStyle="1" w:styleId="289">
    <w:name w:val="0.正文"/>
    <w:basedOn w:val="1"/>
    <w:link w:val="290"/>
    <w:qFormat/>
    <w:uiPriority w:val="0"/>
    <w:pPr>
      <w:widowControl/>
      <w:spacing w:line="360" w:lineRule="auto"/>
      <w:ind w:firstLine="480" w:firstLineChars="200"/>
    </w:pPr>
    <w:rPr>
      <w:rFonts w:ascii="Times New Roman" w:hAnsi="Times New Roman" w:eastAsia="宋体" w:cs="Times New Roman"/>
      <w:bCs/>
      <w:color w:val="000000"/>
      <w:sz w:val="28"/>
    </w:rPr>
  </w:style>
  <w:style w:type="character" w:customStyle="1" w:styleId="290">
    <w:name w:val="0.正文 Char"/>
    <w:basedOn w:val="65"/>
    <w:link w:val="289"/>
    <w:qFormat/>
    <w:uiPriority w:val="0"/>
    <w:rPr>
      <w:rFonts w:ascii="Times New Roman" w:hAnsi="Times New Roman" w:eastAsia="宋体" w:cs="Times New Roman"/>
      <w:bCs/>
      <w:color w:val="000000"/>
      <w:sz w:val="28"/>
    </w:rPr>
  </w:style>
  <w:style w:type="paragraph" w:customStyle="1" w:styleId="291">
    <w:name w:val="0.图头"/>
    <w:basedOn w:val="1"/>
    <w:link w:val="292"/>
    <w:uiPriority w:val="0"/>
    <w:pPr>
      <w:spacing w:line="360" w:lineRule="auto"/>
      <w:jc w:val="center"/>
    </w:pPr>
    <w:rPr>
      <w:rFonts w:ascii="Times New Roman" w:hAnsi="Times New Roman" w:eastAsia="宋体" w:cs="Times New Roman"/>
      <w:bCs/>
      <w:color w:val="000000"/>
      <w:sz w:val="24"/>
    </w:rPr>
  </w:style>
  <w:style w:type="character" w:customStyle="1" w:styleId="292">
    <w:name w:val="0.图头 Char"/>
    <w:basedOn w:val="65"/>
    <w:link w:val="291"/>
    <w:qFormat/>
    <w:uiPriority w:val="0"/>
    <w:rPr>
      <w:rFonts w:ascii="Times New Roman" w:hAnsi="Times New Roman" w:eastAsia="宋体" w:cs="Times New Roman"/>
      <w:bCs/>
      <w:color w:val="000000"/>
      <w:sz w:val="24"/>
    </w:rPr>
  </w:style>
  <w:style w:type="paragraph" w:customStyle="1" w:styleId="293">
    <w:name w:val="表标题1"/>
    <w:basedOn w:val="228"/>
    <w:link w:val="294"/>
    <w:qFormat/>
    <w:uiPriority w:val="0"/>
    <w:pPr>
      <w:spacing w:line="240" w:lineRule="auto"/>
    </w:pPr>
    <w:rPr>
      <w:rFonts w:ascii="Times New Roman" w:hAnsi="Times New Roman" w:cs="Times New Roman"/>
      <w:sz w:val="21"/>
      <w:szCs w:val="21"/>
    </w:rPr>
  </w:style>
  <w:style w:type="character" w:customStyle="1" w:styleId="294">
    <w:name w:val="表标题1 Char"/>
    <w:link w:val="293"/>
    <w:qFormat/>
    <w:uiPriority w:val="0"/>
    <w:rPr>
      <w:rFonts w:ascii="Times New Roman" w:hAnsi="Times New Roman" w:eastAsia="宋体" w:cs="Times New Roman"/>
      <w:b/>
      <w:szCs w:val="21"/>
    </w:rPr>
  </w:style>
  <w:style w:type="character" w:customStyle="1" w:styleId="295">
    <w:name w:val="批注文字 字符"/>
    <w:link w:val="22"/>
    <w:qFormat/>
    <w:uiPriority w:val="99"/>
  </w:style>
  <w:style w:type="character" w:customStyle="1" w:styleId="296">
    <w:name w:val="批注文字 Char1"/>
    <w:basedOn w:val="65"/>
    <w:semiHidden/>
    <w:qFormat/>
    <w:uiPriority w:val="99"/>
  </w:style>
  <w:style w:type="paragraph" w:customStyle="1" w:styleId="297">
    <w:name w:val="表格文字(居中)"/>
    <w:basedOn w:val="1"/>
    <w:uiPriority w:val="0"/>
    <w:pPr>
      <w:spacing w:beforeLines="15" w:afterLines="15"/>
      <w:jc w:val="center"/>
    </w:pPr>
    <w:rPr>
      <w:rFonts w:ascii="宋体" w:hAnsi="宋体" w:eastAsia="宋体" w:cs="宋体"/>
      <w:szCs w:val="20"/>
    </w:rPr>
  </w:style>
  <w:style w:type="paragraph" w:customStyle="1" w:styleId="298">
    <w:name w:val="表格首行"/>
    <w:basedOn w:val="1"/>
    <w:qFormat/>
    <w:uiPriority w:val="0"/>
    <w:pPr>
      <w:spacing w:beforeLines="20" w:afterLines="20"/>
      <w:jc w:val="center"/>
    </w:pPr>
    <w:rPr>
      <w:rFonts w:ascii="宋体" w:hAnsi="宋体" w:eastAsia="宋体" w:cs="宋体"/>
      <w:b/>
      <w:bCs/>
      <w:szCs w:val="20"/>
    </w:rPr>
  </w:style>
  <w:style w:type="paragraph" w:customStyle="1" w:styleId="299">
    <w:name w:val="三级1.1.1"/>
    <w:basedOn w:val="1"/>
    <w:link w:val="300"/>
    <w:uiPriority w:val="0"/>
    <w:pPr>
      <w:tabs>
        <w:tab w:val="left" w:pos="2893"/>
      </w:tabs>
      <w:spacing w:beforeLines="50" w:line="360" w:lineRule="auto"/>
      <w:jc w:val="left"/>
      <w:outlineLvl w:val="2"/>
    </w:pPr>
    <w:rPr>
      <w:rFonts w:ascii="Times New Roman" w:hAnsi="Times New Roman" w:eastAsia="宋体" w:cs="Times New Roman"/>
      <w:bCs/>
      <w:kern w:val="28"/>
      <w:sz w:val="24"/>
      <w:szCs w:val="28"/>
    </w:rPr>
  </w:style>
  <w:style w:type="character" w:customStyle="1" w:styleId="300">
    <w:name w:val="三级1.1.1 Char"/>
    <w:link w:val="299"/>
    <w:qFormat/>
    <w:uiPriority w:val="0"/>
    <w:rPr>
      <w:rFonts w:ascii="Times New Roman" w:hAnsi="Times New Roman" w:eastAsia="宋体" w:cs="Times New Roman"/>
      <w:bCs/>
      <w:kern w:val="28"/>
      <w:sz w:val="24"/>
      <w:szCs w:val="28"/>
    </w:rPr>
  </w:style>
  <w:style w:type="character" w:customStyle="1" w:styleId="301">
    <w:name w:val="5-正文 Char"/>
    <w:link w:val="302"/>
    <w:qFormat/>
    <w:uiPriority w:val="0"/>
    <w:rPr>
      <w:rFonts w:ascii="Times New Roman" w:hAnsi="Times New Roman" w:eastAsia="楷体_GB2312" w:cs="Times New Roman"/>
      <w:sz w:val="28"/>
      <w:szCs w:val="30"/>
    </w:rPr>
  </w:style>
  <w:style w:type="paragraph" w:customStyle="1" w:styleId="302">
    <w:name w:val="5-正文"/>
    <w:basedOn w:val="1"/>
    <w:link w:val="301"/>
    <w:qFormat/>
    <w:uiPriority w:val="0"/>
    <w:pPr>
      <w:spacing w:line="360" w:lineRule="auto"/>
      <w:ind w:firstLine="560" w:firstLineChars="200"/>
    </w:pPr>
    <w:rPr>
      <w:rFonts w:ascii="Times New Roman" w:hAnsi="Times New Roman" w:eastAsia="楷体_GB2312" w:cs="Times New Roman"/>
      <w:sz w:val="28"/>
      <w:szCs w:val="30"/>
    </w:rPr>
  </w:style>
  <w:style w:type="paragraph" w:customStyle="1" w:styleId="303">
    <w:name w:val="Char Char Char Char Char"/>
    <w:basedOn w:val="1"/>
    <w:uiPriority w:val="0"/>
    <w:pPr>
      <w:tabs>
        <w:tab w:val="left" w:pos="432"/>
      </w:tabs>
      <w:ind w:left="432" w:hanging="432"/>
    </w:pPr>
    <w:rPr>
      <w:rFonts w:ascii="Tahoma" w:hAnsi="Tahoma" w:eastAsia="宋体" w:cs="Times New Roman"/>
      <w:sz w:val="24"/>
      <w:szCs w:val="20"/>
    </w:rPr>
  </w:style>
  <w:style w:type="paragraph" w:customStyle="1" w:styleId="304">
    <w:name w:val="附表名称"/>
    <w:basedOn w:val="34"/>
    <w:qFormat/>
    <w:uiPriority w:val="0"/>
    <w:pPr>
      <w:adjustRightInd w:val="0"/>
      <w:snapToGrid w:val="0"/>
      <w:spacing w:line="360" w:lineRule="auto"/>
      <w:jc w:val="center"/>
    </w:pPr>
    <w:rPr>
      <w:rFonts w:ascii="Arial Narrow" w:hAnsi="Arial Narrow" w:eastAsia="黑体" w:cs="Courier New"/>
      <w:sz w:val="28"/>
      <w:szCs w:val="21"/>
    </w:rPr>
  </w:style>
  <w:style w:type="character" w:customStyle="1" w:styleId="305">
    <w:name w:val="表格标题 Char"/>
    <w:qFormat/>
    <w:uiPriority w:val="0"/>
    <w:rPr>
      <w:rFonts w:ascii="Arial" w:hAnsi="Arial" w:eastAsia="黑体" w:cs="Times New Roman"/>
      <w:kern w:val="0"/>
      <w:sz w:val="24"/>
      <w:szCs w:val="20"/>
    </w:rPr>
  </w:style>
  <w:style w:type="paragraph" w:customStyle="1" w:styleId="306">
    <w:name w:val="样式 样式 楷体_GB2312 小四 居中 行距: 单倍行距 + 梅红 行距: 1.5 倍行距"/>
    <w:basedOn w:val="233"/>
    <w:qFormat/>
    <w:uiPriority w:val="0"/>
    <w:rPr>
      <w:rFonts w:cs="Times New Roman"/>
      <w:color w:val="993366"/>
      <w:kern w:val="0"/>
    </w:rPr>
  </w:style>
  <w:style w:type="paragraph" w:customStyle="1" w:styleId="307">
    <w:name w:val="Char Char Char Char Char Char Char1"/>
    <w:basedOn w:val="1"/>
    <w:link w:val="419"/>
    <w:qFormat/>
    <w:uiPriority w:val="0"/>
    <w:rPr>
      <w:rFonts w:ascii="Times New Roman" w:hAnsi="Times New Roman" w:eastAsia="宋体" w:cs="Times New Roman"/>
      <w:szCs w:val="21"/>
    </w:rPr>
  </w:style>
  <w:style w:type="character" w:customStyle="1" w:styleId="308">
    <w:name w:val="apple-style-span"/>
    <w:qFormat/>
    <w:uiPriority w:val="0"/>
  </w:style>
  <w:style w:type="paragraph" w:customStyle="1" w:styleId="309">
    <w:name w:val="封面正文"/>
    <w:qFormat/>
    <w:uiPriority w:val="0"/>
    <w:pPr>
      <w:jc w:val="both"/>
    </w:pPr>
    <w:rPr>
      <w:rFonts w:ascii="Times New Roman" w:hAnsi="Times New Roman" w:eastAsia="宋体" w:cs="Times New Roman"/>
      <w:lang w:val="en-US" w:eastAsia="zh-CN" w:bidi="ar-SA"/>
    </w:rPr>
  </w:style>
  <w:style w:type="paragraph" w:customStyle="1" w:styleId="310">
    <w:name w:val="引用2"/>
    <w:basedOn w:val="1"/>
    <w:next w:val="1"/>
    <w:semiHidden/>
    <w:qFormat/>
    <w:uiPriority w:val="0"/>
    <w:pPr>
      <w:widowControl/>
      <w:spacing w:after="200" w:line="276" w:lineRule="auto"/>
      <w:jc w:val="left"/>
    </w:pPr>
    <w:rPr>
      <w:rFonts w:ascii="Calibri" w:hAnsi="Calibri" w:eastAsia="宋体" w:cs="Times New Roman"/>
      <w:i/>
      <w:iCs/>
      <w:color w:val="000000"/>
      <w:kern w:val="0"/>
      <w:sz w:val="22"/>
      <w:szCs w:val="20"/>
      <w:lang w:eastAsia="en-US"/>
    </w:rPr>
  </w:style>
  <w:style w:type="paragraph" w:customStyle="1" w:styleId="311">
    <w:name w:val="明显引用2"/>
    <w:basedOn w:val="1"/>
    <w:next w:val="1"/>
    <w:semiHidden/>
    <w:qFormat/>
    <w:uiPriority w:val="0"/>
    <w:pPr>
      <w:widowControl/>
      <w:pBdr>
        <w:bottom w:val="single" w:color="4F81BD" w:sz="4" w:space="4"/>
      </w:pBdr>
      <w:spacing w:before="200" w:after="280" w:line="276" w:lineRule="auto"/>
      <w:ind w:left="936" w:right="936"/>
      <w:jc w:val="left"/>
    </w:pPr>
    <w:rPr>
      <w:rFonts w:ascii="Calibri" w:hAnsi="Calibri" w:eastAsia="宋体" w:cs="Times New Roman"/>
      <w:b/>
      <w:bCs/>
      <w:i/>
      <w:iCs/>
      <w:color w:val="4F81BD"/>
      <w:kern w:val="0"/>
      <w:sz w:val="22"/>
      <w:szCs w:val="20"/>
      <w:lang w:eastAsia="en-US"/>
    </w:rPr>
  </w:style>
  <w:style w:type="character" w:customStyle="1" w:styleId="312">
    <w:name w:val="A正文 Char Char"/>
    <w:link w:val="313"/>
    <w:qFormat/>
    <w:uiPriority w:val="0"/>
    <w:rPr>
      <w:rFonts w:eastAsia="仿宋_GB2312"/>
      <w:sz w:val="24"/>
      <w:szCs w:val="24"/>
    </w:rPr>
  </w:style>
  <w:style w:type="paragraph" w:customStyle="1" w:styleId="313">
    <w:name w:val="A正文"/>
    <w:basedOn w:val="1"/>
    <w:link w:val="312"/>
    <w:qFormat/>
    <w:uiPriority w:val="0"/>
    <w:pPr>
      <w:widowControl/>
      <w:overflowPunct w:val="0"/>
      <w:autoSpaceDE w:val="0"/>
      <w:autoSpaceDN w:val="0"/>
      <w:adjustRightInd w:val="0"/>
      <w:spacing w:line="360" w:lineRule="auto"/>
      <w:ind w:firstLine="200" w:firstLineChars="200"/>
      <w:jc w:val="left"/>
      <w:textAlignment w:val="baseline"/>
    </w:pPr>
    <w:rPr>
      <w:rFonts w:eastAsia="仿宋_GB2312"/>
      <w:sz w:val="24"/>
      <w:szCs w:val="24"/>
    </w:rPr>
  </w:style>
  <w:style w:type="paragraph" w:customStyle="1" w:styleId="314">
    <w:name w:val="reader-word-layer reader-word-s1-4"/>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15">
    <w:name w:val="reader-word-layer reader-word-s3-27"/>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16">
    <w:name w:val="正文文字缩进 Char2"/>
    <w:uiPriority w:val="0"/>
    <w:rPr>
      <w:rFonts w:ascii="楷体_GB2312" w:eastAsia="楷体_GB2312"/>
      <w:kern w:val="2"/>
      <w:sz w:val="30"/>
      <w:szCs w:val="24"/>
      <w:lang w:val="en-US" w:eastAsia="zh-CN" w:bidi="ar-SA"/>
    </w:rPr>
  </w:style>
  <w:style w:type="paragraph" w:customStyle="1" w:styleId="317">
    <w:name w:val="1 Char"/>
    <w:basedOn w:val="1"/>
    <w:uiPriority w:val="0"/>
    <w:rPr>
      <w:rFonts w:ascii="Times New Roman" w:hAnsi="Times New Roman" w:eastAsia="宋体" w:cs="Times New Roman"/>
      <w:szCs w:val="24"/>
    </w:rPr>
  </w:style>
  <w:style w:type="character" w:customStyle="1" w:styleId="318">
    <w:name w:val="Footer1 Char Char1"/>
    <w:qFormat/>
    <w:uiPriority w:val="0"/>
    <w:rPr>
      <w:rFonts w:ascii="宋体" w:eastAsia="宋体"/>
      <w:sz w:val="18"/>
      <w:lang w:val="en-US" w:eastAsia="zh-CN" w:bidi="ar-SA"/>
    </w:rPr>
  </w:style>
  <w:style w:type="paragraph" w:customStyle="1" w:styleId="319">
    <w:name w:val="正文文本 22"/>
    <w:basedOn w:val="1"/>
    <w:qFormat/>
    <w:uiPriority w:val="0"/>
    <w:pPr>
      <w:adjustRightInd w:val="0"/>
      <w:ind w:firstLine="573"/>
      <w:jc w:val="left"/>
      <w:textAlignment w:val="baseline"/>
    </w:pPr>
    <w:rPr>
      <w:rFonts w:ascii="楷体_GB2312" w:hAnsi="Times New Roman" w:eastAsia="宋体" w:cs="Times New Roman"/>
      <w:sz w:val="28"/>
      <w:szCs w:val="20"/>
    </w:rPr>
  </w:style>
  <w:style w:type="paragraph" w:customStyle="1" w:styleId="320">
    <w:name w:val="样式 标题 2Title Header2标题 2XW + 加粗"/>
    <w:basedOn w:val="4"/>
    <w:qFormat/>
    <w:uiPriority w:val="0"/>
    <w:pPr>
      <w:adjustRightInd w:val="0"/>
      <w:spacing w:after="120"/>
      <w:ind w:left="0" w:right="210" w:rightChars="100" w:firstLine="0" w:firstLineChars="0"/>
      <w:jc w:val="left"/>
      <w:textAlignment w:val="baseline"/>
    </w:pPr>
    <w:rPr>
      <w:rFonts w:eastAsia="宋体"/>
      <w:b w:val="0"/>
      <w:spacing w:val="0"/>
      <w:kern w:val="0"/>
      <w:sz w:val="44"/>
      <w:szCs w:val="24"/>
      <w:shd w:val="clear" w:color="auto" w:fill="00FFFF"/>
    </w:rPr>
  </w:style>
  <w:style w:type="paragraph" w:customStyle="1" w:styleId="321">
    <w:name w:val="Bullet"/>
    <w:basedOn w:val="1"/>
    <w:qFormat/>
    <w:uiPriority w:val="0"/>
    <w:pPr>
      <w:widowControl/>
      <w:tabs>
        <w:tab w:val="left" w:pos="1211"/>
      </w:tabs>
      <w:spacing w:before="120"/>
      <w:ind w:left="1134" w:hanging="283"/>
      <w:jc w:val="left"/>
    </w:pPr>
    <w:rPr>
      <w:rFonts w:ascii="Univers" w:hAnsi="Univers" w:eastAsia="宋体" w:cs="Times New Roman"/>
      <w:kern w:val="0"/>
      <w:sz w:val="22"/>
      <w:szCs w:val="20"/>
      <w:lang w:eastAsia="en-US"/>
    </w:rPr>
  </w:style>
  <w:style w:type="paragraph" w:customStyle="1" w:styleId="322">
    <w:name w:val="Char1 Char Char Char Char Char Char Char Char Char1"/>
    <w:basedOn w:val="1"/>
    <w:qFormat/>
    <w:uiPriority w:val="0"/>
    <w:rPr>
      <w:rFonts w:ascii="Times New Roman" w:hAnsi="Times New Roman" w:eastAsia="宋体" w:cs="Times New Roman"/>
      <w:szCs w:val="24"/>
    </w:rPr>
  </w:style>
  <w:style w:type="paragraph" w:customStyle="1" w:styleId="323">
    <w:name w:val="表格"/>
    <w:basedOn w:val="1"/>
    <w:qFormat/>
    <w:uiPriority w:val="0"/>
    <w:pPr>
      <w:adjustRightInd w:val="0"/>
      <w:spacing w:before="60" w:after="60"/>
      <w:jc w:val="center"/>
      <w:textAlignment w:val="baseline"/>
    </w:pPr>
    <w:rPr>
      <w:rFonts w:ascii="宋体" w:hAnsi="Times New Roman" w:eastAsia="宋体" w:cs="Times New Roman"/>
      <w:kern w:val="0"/>
      <w:sz w:val="24"/>
      <w:szCs w:val="20"/>
    </w:rPr>
  </w:style>
  <w:style w:type="paragraph" w:customStyle="1" w:styleId="324">
    <w:name w:val="样式 宋体 小四 加粗 右侧:  -1.54 厘米"/>
    <w:basedOn w:val="1"/>
    <w:qFormat/>
    <w:uiPriority w:val="0"/>
    <w:pPr>
      <w:ind w:right="-874"/>
    </w:pPr>
    <w:rPr>
      <w:rFonts w:ascii="宋体" w:hAnsi="宋体" w:eastAsia="宋体" w:cs="Times New Roman"/>
      <w:b/>
      <w:bCs/>
      <w:sz w:val="28"/>
      <w:szCs w:val="20"/>
    </w:rPr>
  </w:style>
  <w:style w:type="paragraph" w:customStyle="1" w:styleId="325">
    <w:name w:val="标题二"/>
    <w:basedOn w:val="1"/>
    <w:qFormat/>
    <w:uiPriority w:val="0"/>
    <w:pPr>
      <w:widowControl/>
      <w:spacing w:line="360" w:lineRule="auto"/>
      <w:ind w:firstLine="100" w:firstLineChars="100"/>
      <w:jc w:val="left"/>
    </w:pPr>
    <w:rPr>
      <w:rFonts w:ascii="宋体" w:hAnsi="宋体" w:eastAsia="宋体" w:cs="Arial"/>
      <w:kern w:val="0"/>
      <w:sz w:val="28"/>
      <w:szCs w:val="28"/>
    </w:rPr>
  </w:style>
  <w:style w:type="paragraph" w:customStyle="1" w:styleId="326">
    <w:name w:val="标题1二号字"/>
    <w:basedOn w:val="2"/>
    <w:qFormat/>
    <w:uiPriority w:val="0"/>
    <w:pPr>
      <w:widowControl w:val="0"/>
      <w:spacing w:after="100" w:line="578" w:lineRule="auto"/>
      <w:ind w:firstLine="883" w:firstLineChars="200"/>
    </w:pPr>
    <w:rPr>
      <w:rFonts w:cs="宋体"/>
      <w:bCs/>
      <w:sz w:val="44"/>
      <w:szCs w:val="20"/>
    </w:rPr>
  </w:style>
  <w:style w:type="paragraph" w:customStyle="1" w:styleId="327">
    <w:name w:val="标题2三号字"/>
    <w:basedOn w:val="4"/>
    <w:qFormat/>
    <w:uiPriority w:val="0"/>
    <w:pPr>
      <w:spacing w:before="100" w:after="100"/>
      <w:ind w:left="0" w:right="210" w:rightChars="100" w:firstLine="0" w:firstLineChars="0"/>
      <w:jc w:val="left"/>
    </w:pPr>
    <w:rPr>
      <w:rFonts w:cs="宋体"/>
      <w:bCs/>
      <w:spacing w:val="0"/>
      <w:kern w:val="0"/>
      <w:szCs w:val="20"/>
    </w:rPr>
  </w:style>
  <w:style w:type="paragraph" w:customStyle="1" w:styleId="328">
    <w:name w:val="标题3四号字"/>
    <w:basedOn w:val="5"/>
    <w:uiPriority w:val="0"/>
    <w:pPr>
      <w:spacing w:before="100" w:after="100"/>
      <w:ind w:firstLine="480" w:firstLineChars="200"/>
    </w:pPr>
    <w:rPr>
      <w:rFonts w:cs="宋体"/>
      <w:b w:val="0"/>
      <w:bCs/>
      <w:kern w:val="0"/>
      <w:szCs w:val="20"/>
    </w:rPr>
  </w:style>
  <w:style w:type="paragraph" w:customStyle="1" w:styleId="329">
    <w:name w:val="正文缩"/>
    <w:basedOn w:val="1"/>
    <w:next w:val="1"/>
    <w:link w:val="561"/>
    <w:qFormat/>
    <w:uiPriority w:val="0"/>
    <w:pPr>
      <w:adjustRightInd w:val="0"/>
      <w:spacing w:line="480" w:lineRule="atLeast"/>
      <w:ind w:firstLine="567"/>
      <w:jc w:val="left"/>
      <w:textAlignment w:val="baseline"/>
    </w:pPr>
    <w:rPr>
      <w:rFonts w:ascii="宋体" w:hAnsi="Times New Roman" w:eastAsia="宋体" w:cs="Times New Roman"/>
      <w:spacing w:val="6"/>
      <w:kern w:val="0"/>
      <w:sz w:val="28"/>
      <w:szCs w:val="20"/>
    </w:rPr>
  </w:style>
  <w:style w:type="paragraph" w:customStyle="1" w:styleId="330">
    <w:name w:val="Default"/>
    <w:uiPriority w:val="0"/>
    <w:pPr>
      <w:widowControl w:val="0"/>
      <w:autoSpaceDE w:val="0"/>
      <w:autoSpaceDN w:val="0"/>
      <w:adjustRightInd w:val="0"/>
    </w:pPr>
    <w:rPr>
      <w:rFonts w:ascii="宋体" w:hAnsi="Times New Roman" w:eastAsia="宋体" w:cs="Times New Roman"/>
      <w:lang w:val="en-US" w:eastAsia="zh-CN" w:bidi="ar-SA"/>
    </w:rPr>
  </w:style>
  <w:style w:type="paragraph" w:customStyle="1" w:styleId="331">
    <w:name w:val="μ÷.D.úèY"/>
    <w:basedOn w:val="330"/>
    <w:next w:val="330"/>
    <w:qFormat/>
    <w:uiPriority w:val="0"/>
    <w:rPr>
      <w:rFonts w:ascii="..ì." w:eastAsia="..ì."/>
      <w:szCs w:val="24"/>
    </w:rPr>
  </w:style>
  <w:style w:type="paragraph" w:customStyle="1" w:styleId="332">
    <w:name w:val="Body"/>
    <w:uiPriority w:val="0"/>
    <w:pPr>
      <w:widowControl w:val="0"/>
      <w:spacing w:after="100" w:line="240" w:lineRule="atLeast"/>
      <w:ind w:left="2160"/>
    </w:pPr>
    <w:rPr>
      <w:rFonts w:ascii="Times New Roman" w:hAnsi="Times New Roman" w:eastAsia="宋体" w:cs="Times New Roman"/>
      <w:color w:val="000000"/>
      <w:lang w:val="en-US" w:eastAsia="zh-CN" w:bidi="ar-SA"/>
    </w:rPr>
  </w:style>
  <w:style w:type="paragraph" w:customStyle="1" w:styleId="333">
    <w:name w:val="d-p1"/>
    <w:basedOn w:val="1"/>
    <w:uiPriority w:val="0"/>
    <w:pPr>
      <w:widowControl/>
      <w:spacing w:before="100" w:beforeAutospacing="1" w:after="100" w:afterAutospacing="1"/>
      <w:ind w:firstLine="480"/>
      <w:jc w:val="left"/>
    </w:pPr>
    <w:rPr>
      <w:rFonts w:ascii="宋体" w:hAnsi="宋体" w:eastAsia="宋体" w:cs="宋体"/>
      <w:kern w:val="0"/>
      <w:sz w:val="24"/>
      <w:szCs w:val="24"/>
    </w:rPr>
  </w:style>
  <w:style w:type="paragraph" w:customStyle="1" w:styleId="334">
    <w:name w:val="reader-word-layer reader-word-s1-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5">
    <w:name w:val="reader-word-layer reader-word-s1-3"/>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6">
    <w:name w:val="reader-word-layer reader-word-s1-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7">
    <w:name w:val="reader-word-layer reader-word-s1-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8">
    <w:name w:val="reader-word-layer reader-word-s1-8"/>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39">
    <w:name w:val="reader-word-layer reader-word-s1-1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0">
    <w:name w:val="reader-word-layer reader-word-s1-11"/>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1">
    <w:name w:val="reader-word-layer reader-word-s1-1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2">
    <w:name w:val="reader-word-layer reader-word-s1-1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3">
    <w:name w:val="reader-word-layer reader-word-s1-1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4">
    <w:name w:val="reader-word-layer reader-word-s1-1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5">
    <w:name w:val="reader-word-layer reader-word-s1-17"/>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6">
    <w:name w:val="reader-word-layer reader-word-s1-18"/>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7">
    <w:name w:val="reader-word-layer reader-word-s1-2"/>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8">
    <w:name w:val="reader-word-layer reader-word-s1-19"/>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9">
    <w:name w:val="reader-word-layer reader-word-s1-1 reader-word-s1-5"/>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0">
    <w:name w:val="reader-word-layer reader-word-s1-2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1">
    <w:name w:val="reader-word-layer reader-word-s1-2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2">
    <w:name w:val="reader-word-layer reader-word-s1-2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3">
    <w:name w:val="reader-word-layer reader-word-s1-2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4">
    <w:name w:val="reader-word-layer reader-word-s1-1 reader-word-s1-9"/>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5">
    <w:name w:val="reader-word-layer reader-word-s1-1 reader-word-s1-1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6">
    <w:name w:val="reader-word-layer reader-word-s1-2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7">
    <w:name w:val="reader-word-layer reader-word-s1-2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8">
    <w:name w:val="reader-word-layer reader-word-s2-0"/>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9">
    <w:name w:val="reader-word-layer reader-word-s2-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0">
    <w:name w:val="reader-word-layer reader-word-s2-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1">
    <w:name w:val="reader-word-layer reader-word-s2-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2">
    <w:name w:val="reader-word-layer reader-word-s2-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3">
    <w:name w:val="reader-word-layer reader-word-s2-7"/>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4">
    <w:name w:val="reader-word-layer reader-word-s2-8"/>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5">
    <w:name w:val="reader-word-layer reader-word-s2-9"/>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6">
    <w:name w:val="reader-word-layer reader-word-s2-10"/>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7">
    <w:name w:val="reader-word-layer reader-word-s2-11"/>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8">
    <w:name w:val="reader-word-layer reader-word-s2-12"/>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69">
    <w:name w:val="reader-word-layer reader-word-s2-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70">
    <w:name w:val="Char Char Char Char Char Char Char Char Char Char Char Char Char1"/>
    <w:basedOn w:val="1"/>
    <w:qFormat/>
    <w:uiPriority w:val="0"/>
    <w:rPr>
      <w:rFonts w:ascii="Tahoma" w:hAnsi="Tahoma" w:eastAsia="宋体" w:cs="Times New Roman"/>
      <w:sz w:val="24"/>
      <w:szCs w:val="20"/>
    </w:rPr>
  </w:style>
  <w:style w:type="paragraph" w:customStyle="1" w:styleId="371">
    <w:name w:val="正文张"/>
    <w:basedOn w:val="1"/>
    <w:next w:val="1"/>
    <w:qFormat/>
    <w:uiPriority w:val="0"/>
    <w:pPr>
      <w:spacing w:line="360" w:lineRule="auto"/>
      <w:ind w:firstLine="200" w:firstLineChars="200"/>
    </w:pPr>
    <w:rPr>
      <w:rFonts w:ascii="楷体_GB2312" w:hAnsi="宋体" w:eastAsia="楷体_GB2312" w:cs="Times New Roman"/>
      <w:color w:val="000000"/>
      <w:sz w:val="30"/>
      <w:szCs w:val="24"/>
    </w:rPr>
  </w:style>
  <w:style w:type="paragraph" w:customStyle="1" w:styleId="372">
    <w:name w:val="表格标题z"/>
    <w:basedOn w:val="1"/>
    <w:next w:val="1"/>
    <w:link w:val="373"/>
    <w:qFormat/>
    <w:uiPriority w:val="0"/>
    <w:pPr>
      <w:snapToGrid w:val="0"/>
      <w:jc w:val="center"/>
    </w:pPr>
    <w:rPr>
      <w:rFonts w:ascii="楷体_GB2312" w:hAnsi="Arial Narrow" w:eastAsia="楷体_GB2312" w:cs="Times New Roman"/>
      <w:b/>
      <w:kern w:val="0"/>
      <w:sz w:val="24"/>
      <w:szCs w:val="24"/>
    </w:rPr>
  </w:style>
  <w:style w:type="character" w:customStyle="1" w:styleId="373">
    <w:name w:val="表格标题z Char"/>
    <w:link w:val="372"/>
    <w:qFormat/>
    <w:uiPriority w:val="0"/>
    <w:rPr>
      <w:rFonts w:ascii="楷体_GB2312" w:hAnsi="Arial Narrow" w:eastAsia="楷体_GB2312" w:cs="Times New Roman"/>
      <w:b/>
      <w:kern w:val="0"/>
      <w:sz w:val="24"/>
      <w:szCs w:val="24"/>
    </w:rPr>
  </w:style>
  <w:style w:type="character" w:customStyle="1" w:styleId="374">
    <w:name w:val="表格z Char Char1"/>
    <w:qFormat/>
    <w:uiPriority w:val="0"/>
    <w:rPr>
      <w:rFonts w:ascii="楷体_GB2312" w:hAnsi="Arial" w:eastAsia="楷体_GB2312"/>
      <w:bCs/>
      <w:snapToGrid w:val="0"/>
      <w:sz w:val="24"/>
      <w:szCs w:val="32"/>
      <w:lang w:bidi="ar-SA"/>
    </w:rPr>
  </w:style>
  <w:style w:type="paragraph" w:styleId="375">
    <w:name w:val="No Spacing"/>
    <w:link w:val="774"/>
    <w:uiPriority w:val="1"/>
    <w:pPr>
      <w:widowControl w:val="0"/>
      <w:adjustRightInd w:val="0"/>
      <w:snapToGrid w:val="0"/>
      <w:jc w:val="center"/>
    </w:pPr>
    <w:rPr>
      <w:rFonts w:ascii="宋体" w:hAnsi="宋体" w:eastAsia="楷体_GB2312" w:cs="Times New Roman"/>
      <w:b/>
      <w:kern w:val="2"/>
      <w:sz w:val="24"/>
      <w:szCs w:val="24"/>
      <w:lang w:val="en-US" w:eastAsia="zh-CN" w:bidi="ar-SA"/>
    </w:rPr>
  </w:style>
  <w:style w:type="paragraph" w:customStyle="1" w:styleId="376">
    <w:name w:val="标题张4"/>
    <w:basedOn w:val="371"/>
    <w:qFormat/>
    <w:uiPriority w:val="0"/>
    <w:pPr>
      <w:ind w:firstLine="0" w:firstLineChars="0"/>
      <w:jc w:val="left"/>
      <w:outlineLvl w:val="3"/>
    </w:pPr>
  </w:style>
  <w:style w:type="character" w:customStyle="1" w:styleId="377">
    <w:name w:val="表格z Char Char"/>
    <w:uiPriority w:val="0"/>
    <w:rPr>
      <w:rFonts w:ascii="楷体_GB2312" w:hAnsi="Arial" w:eastAsia="楷体_GB2312"/>
      <w:bCs/>
      <w:snapToGrid w:val="0"/>
      <w:sz w:val="24"/>
      <w:szCs w:val="32"/>
      <w:lang w:bidi="ar-SA"/>
    </w:rPr>
  </w:style>
  <w:style w:type="paragraph" w:customStyle="1" w:styleId="378">
    <w:name w:val="表号"/>
    <w:basedOn w:val="372"/>
    <w:qFormat/>
    <w:uiPriority w:val="0"/>
    <w:pPr>
      <w:spacing w:line="240" w:lineRule="exact"/>
      <w:jc w:val="left"/>
    </w:pPr>
    <w:rPr>
      <w:rFonts w:eastAsia="汉鼎简书宋"/>
      <w:b w:val="0"/>
      <w:sz w:val="21"/>
      <w:szCs w:val="21"/>
    </w:rPr>
  </w:style>
  <w:style w:type="paragraph" w:customStyle="1" w:styleId="379">
    <w:name w:val="Char Char Char Char1"/>
    <w:basedOn w:val="1"/>
    <w:uiPriority w:val="0"/>
    <w:rPr>
      <w:rFonts w:ascii="Times New Roman" w:hAnsi="Times New Roman" w:eastAsia="宋体" w:cs="Times New Roman"/>
      <w:szCs w:val="21"/>
    </w:rPr>
  </w:style>
  <w:style w:type="paragraph" w:customStyle="1" w:styleId="380">
    <w:name w:val="王效杰正文"/>
    <w:link w:val="381"/>
    <w:qFormat/>
    <w:uiPriority w:val="0"/>
    <w:pPr>
      <w:widowControl w:val="0"/>
      <w:spacing w:line="360" w:lineRule="auto"/>
      <w:ind w:firstLine="616" w:firstLineChars="220"/>
      <w:jc w:val="both"/>
    </w:pPr>
    <w:rPr>
      <w:rFonts w:ascii="Times New Roman" w:hAnsi="Times New Roman" w:eastAsia="楷体_GB2312" w:cs="Times New Roman"/>
      <w:snapToGrid w:val="0"/>
      <w:sz w:val="28"/>
      <w:szCs w:val="24"/>
      <w:lang w:val="en-GB" w:eastAsia="zh-CN" w:bidi="ar-SA"/>
    </w:rPr>
  </w:style>
  <w:style w:type="character" w:customStyle="1" w:styleId="381">
    <w:name w:val="王效杰正文 Char Char"/>
    <w:link w:val="380"/>
    <w:qFormat/>
    <w:uiPriority w:val="0"/>
    <w:rPr>
      <w:rFonts w:ascii="Times New Roman" w:hAnsi="Times New Roman" w:eastAsia="楷体_GB2312" w:cs="Times New Roman"/>
      <w:snapToGrid w:val="0"/>
      <w:kern w:val="0"/>
      <w:sz w:val="28"/>
      <w:szCs w:val="24"/>
      <w:lang w:val="en-GB"/>
    </w:rPr>
  </w:style>
  <w:style w:type="paragraph" w:customStyle="1" w:styleId="382">
    <w:name w:val="Char Char2 Char Char"/>
    <w:basedOn w:val="1"/>
    <w:uiPriority w:val="0"/>
    <w:pPr>
      <w:adjustRightInd w:val="0"/>
      <w:spacing w:line="312" w:lineRule="atLeast"/>
      <w:textAlignment w:val="baseline"/>
    </w:pPr>
    <w:rPr>
      <w:rFonts w:ascii="Tahoma" w:hAnsi="Tahoma" w:eastAsia="宋体" w:cs="Times New Roman"/>
      <w:kern w:val="0"/>
      <w:sz w:val="24"/>
      <w:szCs w:val="20"/>
    </w:rPr>
  </w:style>
  <w:style w:type="paragraph" w:customStyle="1" w:styleId="383">
    <w:name w:val="正文样式"/>
    <w:basedOn w:val="1"/>
    <w:link w:val="384"/>
    <w:qFormat/>
    <w:uiPriority w:val="0"/>
    <w:pPr>
      <w:adjustRightInd w:val="0"/>
      <w:snapToGrid w:val="0"/>
      <w:spacing w:beforeLines="50" w:afterLines="50" w:line="312" w:lineRule="auto"/>
      <w:ind w:firstLine="480" w:firstLineChars="200"/>
    </w:pPr>
    <w:rPr>
      <w:rFonts w:ascii="Times New Roman" w:hAnsi="Times New Roman" w:eastAsia="宋体" w:cs="Times New Roman"/>
      <w:kern w:val="0"/>
      <w:sz w:val="24"/>
      <w:szCs w:val="24"/>
    </w:rPr>
  </w:style>
  <w:style w:type="character" w:customStyle="1" w:styleId="384">
    <w:name w:val="正文样式 Char"/>
    <w:link w:val="383"/>
    <w:qFormat/>
    <w:uiPriority w:val="0"/>
    <w:rPr>
      <w:rFonts w:ascii="Times New Roman" w:hAnsi="Times New Roman" w:eastAsia="宋体" w:cs="Times New Roman"/>
      <w:kern w:val="0"/>
      <w:sz w:val="24"/>
      <w:szCs w:val="24"/>
    </w:rPr>
  </w:style>
  <w:style w:type="paragraph" w:customStyle="1" w:styleId="385">
    <w:name w:val="font0"/>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86">
    <w:name w:val="font8"/>
    <w:basedOn w:val="1"/>
    <w:qFormat/>
    <w:uiPriority w:val="0"/>
    <w:pPr>
      <w:widowControl/>
      <w:spacing w:before="100" w:beforeAutospacing="1" w:after="100" w:afterAutospacing="1"/>
      <w:jc w:val="left"/>
    </w:pPr>
    <w:rPr>
      <w:rFonts w:ascii="Times New Roman" w:hAnsi="Times New Roman" w:eastAsia="宋体" w:cs="Times New Roman"/>
      <w:b/>
      <w:bCs/>
      <w:color w:val="000000"/>
      <w:kern w:val="0"/>
      <w:sz w:val="36"/>
      <w:szCs w:val="36"/>
    </w:rPr>
  </w:style>
  <w:style w:type="paragraph" w:customStyle="1" w:styleId="387">
    <w:name w:val="font9"/>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4"/>
      <w:szCs w:val="24"/>
    </w:rPr>
  </w:style>
  <w:style w:type="paragraph" w:customStyle="1" w:styleId="388">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89">
    <w:name w:val="xl7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390">
    <w:name w:val="xl8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391">
    <w:name w:val="xl8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color w:val="000000"/>
      <w:kern w:val="0"/>
      <w:sz w:val="20"/>
      <w:szCs w:val="20"/>
    </w:rPr>
  </w:style>
  <w:style w:type="paragraph" w:customStyle="1" w:styleId="392">
    <w:name w:val="xl8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393">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394">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395">
    <w:name w:val="xl8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96">
    <w:name w:val="xl86"/>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39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398">
    <w:name w:val="xl88"/>
    <w:basedOn w:val="1"/>
    <w:qFormat/>
    <w:uiPriority w:val="0"/>
    <w:pPr>
      <w:widowControl/>
      <w:spacing w:before="100" w:beforeAutospacing="1" w:after="100" w:afterAutospacing="1"/>
      <w:jc w:val="center"/>
    </w:pPr>
    <w:rPr>
      <w:rFonts w:ascii="宋体" w:hAnsi="宋体" w:eastAsia="宋体" w:cs="宋体"/>
      <w:kern w:val="0"/>
      <w:sz w:val="20"/>
      <w:szCs w:val="20"/>
    </w:rPr>
  </w:style>
  <w:style w:type="paragraph" w:customStyle="1" w:styleId="399">
    <w:name w:val="xl89"/>
    <w:basedOn w:val="1"/>
    <w:qFormat/>
    <w:uiPriority w:val="0"/>
    <w:pPr>
      <w:widowControl/>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400">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401">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402">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40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404">
    <w:name w:val="xl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0"/>
      <w:szCs w:val="20"/>
    </w:rPr>
  </w:style>
  <w:style w:type="paragraph" w:customStyle="1" w:styleId="405">
    <w:name w:val="xl9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406">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407">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408">
    <w:name w:val="xl98"/>
    <w:basedOn w:val="1"/>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409">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41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4"/>
      <w:szCs w:val="24"/>
    </w:rPr>
  </w:style>
  <w:style w:type="paragraph" w:customStyle="1" w:styleId="411">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412">
    <w:name w:val="xl102"/>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413">
    <w:name w:val="xl103"/>
    <w:basedOn w:val="1"/>
    <w:qFormat/>
    <w:uiPriority w:val="0"/>
    <w:pPr>
      <w:widowControl/>
      <w:spacing w:before="100" w:beforeAutospacing="1" w:after="100" w:afterAutospacing="1"/>
      <w:jc w:val="center"/>
      <w:textAlignment w:val="center"/>
    </w:pPr>
    <w:rPr>
      <w:rFonts w:ascii="宋体" w:hAnsi="宋体" w:eastAsia="宋体" w:cs="宋体"/>
      <w:b/>
      <w:bCs/>
      <w:color w:val="000000"/>
      <w:kern w:val="0"/>
      <w:sz w:val="36"/>
      <w:szCs w:val="36"/>
    </w:rPr>
  </w:style>
  <w:style w:type="paragraph" w:customStyle="1" w:styleId="414">
    <w:name w:val="Char Char2 Char Char Char Char"/>
    <w:basedOn w:val="1"/>
    <w:qFormat/>
    <w:uiPriority w:val="0"/>
    <w:pPr>
      <w:adjustRightInd w:val="0"/>
      <w:spacing w:line="312" w:lineRule="atLeast"/>
      <w:textAlignment w:val="baseline"/>
    </w:pPr>
    <w:rPr>
      <w:rFonts w:ascii="Tahoma" w:hAnsi="Tahoma" w:eastAsia="宋体" w:cs="Times New Roman"/>
      <w:kern w:val="0"/>
      <w:sz w:val="24"/>
      <w:szCs w:val="20"/>
    </w:rPr>
  </w:style>
  <w:style w:type="paragraph" w:customStyle="1" w:styleId="415">
    <w:name w:val="1.1.1.1"/>
    <w:basedOn w:val="6"/>
    <w:link w:val="416"/>
    <w:qFormat/>
    <w:uiPriority w:val="0"/>
    <w:pPr>
      <w:widowControl w:val="0"/>
      <w:spacing w:before="40" w:after="50" w:line="376" w:lineRule="auto"/>
    </w:pPr>
    <w:rPr>
      <w:rFonts w:ascii="Arial" w:hAnsi="Arial" w:eastAsia="楷体_GB2312"/>
      <w:b w:val="0"/>
      <w:i w:val="0"/>
      <w:iCs w:val="0"/>
      <w:color w:val="auto"/>
      <w:kern w:val="2"/>
      <w:sz w:val="28"/>
      <w:szCs w:val="28"/>
    </w:rPr>
  </w:style>
  <w:style w:type="character" w:customStyle="1" w:styleId="416">
    <w:name w:val="1.1.1.1 Char"/>
    <w:link w:val="415"/>
    <w:qFormat/>
    <w:uiPriority w:val="0"/>
    <w:rPr>
      <w:rFonts w:ascii="Arial" w:hAnsi="Arial" w:eastAsia="楷体_GB2312" w:cs="Times New Roman"/>
      <w:bCs/>
      <w:sz w:val="28"/>
      <w:szCs w:val="28"/>
    </w:rPr>
  </w:style>
  <w:style w:type="paragraph" w:customStyle="1" w:styleId="417">
    <w:name w:val="BTL 0正文"/>
    <w:link w:val="418"/>
    <w:qFormat/>
    <w:uiPriority w:val="0"/>
    <w:pPr>
      <w:widowControl w:val="0"/>
      <w:snapToGrid w:val="0"/>
      <w:spacing w:line="360" w:lineRule="auto"/>
      <w:ind w:firstLine="200" w:firstLineChars="200"/>
      <w:jc w:val="both"/>
      <w:textAlignment w:val="bottom"/>
    </w:pPr>
    <w:rPr>
      <w:rFonts w:ascii="Times New Roman" w:hAnsi="Times New Roman" w:eastAsia="楷体_GB2312" w:cs="Times New Roman"/>
      <w:kern w:val="2"/>
      <w:sz w:val="28"/>
      <w:lang w:val="en-US" w:eastAsia="zh-CN" w:bidi="ar-SA"/>
    </w:rPr>
  </w:style>
  <w:style w:type="character" w:customStyle="1" w:styleId="418">
    <w:name w:val="BTL 0正文 Char"/>
    <w:link w:val="417"/>
    <w:qFormat/>
    <w:uiPriority w:val="0"/>
    <w:rPr>
      <w:rFonts w:ascii="Times New Roman" w:hAnsi="Times New Roman" w:eastAsia="楷体_GB2312" w:cs="Times New Roman"/>
      <w:sz w:val="28"/>
      <w:szCs w:val="20"/>
    </w:rPr>
  </w:style>
  <w:style w:type="character" w:customStyle="1" w:styleId="419">
    <w:name w:val="Char Char Char Char Char Char Char Char"/>
    <w:link w:val="307"/>
    <w:qFormat/>
    <w:uiPriority w:val="0"/>
    <w:rPr>
      <w:rFonts w:ascii="Times New Roman" w:hAnsi="Times New Roman" w:eastAsia="宋体" w:cs="Times New Roman"/>
      <w:szCs w:val="21"/>
    </w:rPr>
  </w:style>
  <w:style w:type="character" w:customStyle="1" w:styleId="420">
    <w:name w:val="样式 宋体 小四1"/>
    <w:qFormat/>
    <w:uiPriority w:val="0"/>
    <w:rPr>
      <w:rFonts w:ascii="宋体" w:hAnsi="宋体" w:eastAsia="宋体"/>
      <w:kern w:val="28"/>
      <w:sz w:val="28"/>
    </w:rPr>
  </w:style>
  <w:style w:type="paragraph" w:customStyle="1" w:styleId="421">
    <w:name w:val="正文首行缩进1"/>
    <w:basedOn w:val="1"/>
    <w:qFormat/>
    <w:uiPriority w:val="0"/>
    <w:pPr>
      <w:adjustRightInd w:val="0"/>
      <w:spacing w:after="120" w:line="312" w:lineRule="atLeast"/>
      <w:ind w:firstLine="420"/>
      <w:textAlignment w:val="baseline"/>
    </w:pPr>
    <w:rPr>
      <w:rFonts w:ascii="宋体" w:hAnsi="Times New Roman" w:eastAsia="宋体" w:cs="Times New Roman"/>
      <w:kern w:val="0"/>
      <w:szCs w:val="20"/>
    </w:rPr>
  </w:style>
  <w:style w:type="paragraph" w:customStyle="1" w:styleId="422">
    <w:name w:val="fg"/>
    <w:basedOn w:val="1"/>
    <w:qFormat/>
    <w:uiPriority w:val="0"/>
    <w:pPr>
      <w:adjustRightInd w:val="0"/>
      <w:spacing w:line="360" w:lineRule="auto"/>
      <w:jc w:val="left"/>
      <w:textAlignment w:val="baseline"/>
    </w:pPr>
    <w:rPr>
      <w:rFonts w:ascii="楷体_GB2312" w:hAnsi="Times New Roman" w:eastAsia="楷体_GB2312" w:cs="Times New Roman"/>
      <w:kern w:val="0"/>
      <w:sz w:val="30"/>
      <w:szCs w:val="20"/>
    </w:rPr>
  </w:style>
  <w:style w:type="paragraph" w:customStyle="1" w:styleId="423">
    <w:name w:val="BTL 表格1"/>
    <w:basedOn w:val="1"/>
    <w:link w:val="424"/>
    <w:qFormat/>
    <w:uiPriority w:val="0"/>
    <w:pPr>
      <w:snapToGrid w:val="0"/>
      <w:spacing w:line="360" w:lineRule="exact"/>
      <w:jc w:val="center"/>
      <w:textAlignment w:val="center"/>
    </w:pPr>
    <w:rPr>
      <w:rFonts w:ascii="Times New Roman" w:hAnsi="Times New Roman" w:eastAsia="楷体_GB2312" w:cs="Times New Roman"/>
      <w:color w:val="000000"/>
      <w:spacing w:val="10"/>
      <w:w w:val="80"/>
      <w:sz w:val="24"/>
      <w:szCs w:val="24"/>
    </w:rPr>
  </w:style>
  <w:style w:type="character" w:customStyle="1" w:styleId="424">
    <w:name w:val="BTL 表格1 Char"/>
    <w:link w:val="423"/>
    <w:qFormat/>
    <w:uiPriority w:val="0"/>
    <w:rPr>
      <w:rFonts w:ascii="Times New Roman" w:hAnsi="Times New Roman" w:eastAsia="楷体_GB2312" w:cs="Times New Roman"/>
      <w:color w:val="000000"/>
      <w:spacing w:val="10"/>
      <w:w w:val="80"/>
      <w:sz w:val="24"/>
      <w:szCs w:val="24"/>
    </w:rPr>
  </w:style>
  <w:style w:type="paragraph" w:customStyle="1" w:styleId="425">
    <w:name w:val="BTL 1.1.1.1.1"/>
    <w:next w:val="417"/>
    <w:link w:val="426"/>
    <w:qFormat/>
    <w:uiPriority w:val="0"/>
    <w:pPr>
      <w:ind w:firstLine="562" w:firstLineChars="200"/>
      <w:outlineLvl w:val="4"/>
    </w:pPr>
    <w:rPr>
      <w:rFonts w:ascii="Times New Roman" w:hAnsi="Times New Roman" w:eastAsia="楷体_GB2312" w:cs="Times New Roman"/>
      <w:b/>
      <w:bCs/>
      <w:color w:val="000000"/>
      <w:kern w:val="2"/>
      <w:sz w:val="28"/>
      <w:szCs w:val="28"/>
      <w:lang w:val="en-US" w:eastAsia="zh-CN" w:bidi="ar-SA"/>
    </w:rPr>
  </w:style>
  <w:style w:type="character" w:customStyle="1" w:styleId="426">
    <w:name w:val="BTL 1.1.1.1.1 Char"/>
    <w:link w:val="425"/>
    <w:qFormat/>
    <w:uiPriority w:val="0"/>
    <w:rPr>
      <w:rFonts w:ascii="Times New Roman" w:hAnsi="Times New Roman" w:eastAsia="楷体_GB2312" w:cs="Times New Roman"/>
      <w:b/>
      <w:bCs/>
      <w:color w:val="000000"/>
      <w:sz w:val="28"/>
      <w:szCs w:val="28"/>
    </w:rPr>
  </w:style>
  <w:style w:type="paragraph" w:customStyle="1" w:styleId="427">
    <w:name w:val="正文2"/>
    <w:link w:val="558"/>
    <w:qFormat/>
    <w:uiPriority w:val="0"/>
    <w:pPr>
      <w:widowControl w:val="0"/>
      <w:adjustRightInd w:val="0"/>
      <w:spacing w:line="307" w:lineRule="atLeast"/>
      <w:jc w:val="both"/>
      <w:textAlignment w:val="baseline"/>
    </w:pPr>
    <w:rPr>
      <w:rFonts w:ascii="宋体" w:hAnsi="Times New Roman" w:eastAsia="宋体" w:cs="Times New Roman"/>
      <w:sz w:val="18"/>
      <w:lang w:val="en-US" w:eastAsia="zh-CN" w:bidi="ar-SA"/>
    </w:rPr>
  </w:style>
  <w:style w:type="character" w:customStyle="1" w:styleId="428">
    <w:name w:val="BTL 1.1.1 Char"/>
    <w:link w:val="429"/>
    <w:qFormat/>
    <w:locked/>
    <w:uiPriority w:val="0"/>
    <w:rPr>
      <w:rFonts w:ascii="楷体_GB2312" w:eastAsia="楷体_GB2312"/>
      <w:b/>
      <w:bCs/>
      <w:color w:val="000000"/>
      <w:sz w:val="28"/>
      <w:szCs w:val="28"/>
    </w:rPr>
  </w:style>
  <w:style w:type="paragraph" w:customStyle="1" w:styleId="429">
    <w:name w:val="BTL 1.1.1"/>
    <w:next w:val="417"/>
    <w:link w:val="428"/>
    <w:qFormat/>
    <w:uiPriority w:val="0"/>
    <w:pPr>
      <w:spacing w:line="360" w:lineRule="auto"/>
      <w:ind w:firstLine="422" w:firstLineChars="150"/>
      <w:jc w:val="both"/>
      <w:outlineLvl w:val="2"/>
    </w:pPr>
    <w:rPr>
      <w:rFonts w:ascii="楷体_GB2312" w:eastAsia="楷体_GB2312" w:hAnsiTheme="minorHAnsi" w:cstheme="minorBidi"/>
      <w:b/>
      <w:bCs/>
      <w:color w:val="000000"/>
      <w:kern w:val="2"/>
      <w:sz w:val="28"/>
      <w:szCs w:val="28"/>
      <w:lang w:val="en-US" w:eastAsia="zh-CN" w:bidi="ar-SA"/>
    </w:rPr>
  </w:style>
  <w:style w:type="paragraph" w:customStyle="1" w:styleId="430">
    <w:name w:val="表格正文"/>
    <w:basedOn w:val="1"/>
    <w:link w:val="716"/>
    <w:qFormat/>
    <w:uiPriority w:val="0"/>
    <w:pPr>
      <w:jc w:val="center"/>
    </w:pPr>
    <w:rPr>
      <w:rFonts w:ascii="宋体" w:hAnsi="Times New Roman" w:eastAsia="宋体" w:cs="Times New Roman"/>
      <w:szCs w:val="24"/>
      <w:lang w:val="en-GB"/>
    </w:rPr>
  </w:style>
  <w:style w:type="paragraph" w:customStyle="1" w:styleId="431">
    <w:name w:val="font10"/>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432">
    <w:name w:val="font1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33">
    <w:name w:val="font1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34">
    <w:name w:val="font13"/>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435">
    <w:name w:val="font14"/>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36">
    <w:name w:val="xl10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37">
    <w:name w:val="xl10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438">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39">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color w:val="FF0000"/>
      <w:kern w:val="0"/>
      <w:sz w:val="24"/>
      <w:szCs w:val="24"/>
    </w:rPr>
  </w:style>
  <w:style w:type="paragraph" w:customStyle="1" w:styleId="440">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color w:val="FF0000"/>
      <w:kern w:val="0"/>
      <w:sz w:val="24"/>
      <w:szCs w:val="24"/>
    </w:rPr>
  </w:style>
  <w:style w:type="paragraph" w:customStyle="1" w:styleId="441">
    <w:name w:val="xl109"/>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color w:val="FF0000"/>
      <w:kern w:val="0"/>
      <w:sz w:val="24"/>
      <w:szCs w:val="24"/>
    </w:rPr>
  </w:style>
  <w:style w:type="paragraph" w:customStyle="1" w:styleId="442">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color w:val="FF0000"/>
      <w:kern w:val="0"/>
      <w:sz w:val="24"/>
      <w:szCs w:val="24"/>
    </w:rPr>
  </w:style>
  <w:style w:type="paragraph" w:customStyle="1" w:styleId="443">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color w:val="FF0000"/>
      <w:kern w:val="0"/>
      <w:sz w:val="24"/>
      <w:szCs w:val="24"/>
    </w:rPr>
  </w:style>
  <w:style w:type="paragraph" w:customStyle="1" w:styleId="444">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color w:val="FF0000"/>
      <w:kern w:val="0"/>
      <w:sz w:val="24"/>
      <w:szCs w:val="24"/>
    </w:rPr>
  </w:style>
  <w:style w:type="paragraph" w:customStyle="1" w:styleId="445">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color w:val="FF0000"/>
      <w:kern w:val="0"/>
      <w:sz w:val="24"/>
      <w:szCs w:val="24"/>
    </w:rPr>
  </w:style>
  <w:style w:type="paragraph" w:customStyle="1" w:styleId="44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color w:val="FF0000"/>
      <w:kern w:val="0"/>
      <w:sz w:val="24"/>
      <w:szCs w:val="24"/>
    </w:rPr>
  </w:style>
  <w:style w:type="paragraph" w:customStyle="1" w:styleId="447">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color w:val="FF0000"/>
      <w:kern w:val="0"/>
      <w:sz w:val="24"/>
      <w:szCs w:val="24"/>
    </w:rPr>
  </w:style>
  <w:style w:type="paragraph" w:customStyle="1" w:styleId="44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449">
    <w:name w:val="xl11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color w:val="FF0000"/>
      <w:kern w:val="0"/>
      <w:sz w:val="24"/>
      <w:szCs w:val="24"/>
    </w:rPr>
  </w:style>
  <w:style w:type="paragraph" w:customStyle="1" w:styleId="450">
    <w:name w:val="xl11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51">
    <w:name w:val="xl11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52">
    <w:name w:val="xl120"/>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453">
    <w:name w:val="xl121"/>
    <w:basedOn w:val="1"/>
    <w:qFormat/>
    <w:uiPriority w:val="0"/>
    <w:pPr>
      <w:widowControl/>
      <w:pBdr>
        <w:bottom w:val="single" w:color="auto" w:sz="4" w:space="0"/>
        <w:right w:val="single" w:color="auto" w:sz="8"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454">
    <w:name w:val="xl12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55">
    <w:name w:val="xl123"/>
    <w:basedOn w:val="1"/>
    <w:qFormat/>
    <w:uiPriority w:val="0"/>
    <w:pPr>
      <w:widowControl/>
      <w:pBdr>
        <w:top w:val="single" w:color="auto" w:sz="4" w:space="0"/>
        <w:bottom w:val="single" w:color="auto" w:sz="4" w:space="0"/>
      </w:pBdr>
      <w:spacing w:before="100" w:beforeAutospacing="1" w:after="100" w:afterAutospacing="1"/>
      <w:jc w:val="right"/>
      <w:textAlignment w:val="center"/>
    </w:pPr>
    <w:rPr>
      <w:rFonts w:ascii="宋体" w:hAnsi="宋体" w:eastAsia="宋体" w:cs="宋体"/>
      <w:kern w:val="0"/>
      <w:sz w:val="24"/>
      <w:szCs w:val="24"/>
    </w:rPr>
  </w:style>
  <w:style w:type="paragraph" w:customStyle="1" w:styleId="456">
    <w:name w:val="xl124"/>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57">
    <w:name w:val="xl125"/>
    <w:basedOn w:val="1"/>
    <w:qFormat/>
    <w:uiPriority w:val="0"/>
    <w:pPr>
      <w:widowControl/>
      <w:pBdr>
        <w:top w:val="single" w:color="auto" w:sz="4" w:space="0"/>
        <w:bottom w:val="single" w:color="auto" w:sz="4" w:space="0"/>
        <w:right w:val="single" w:color="auto"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58">
    <w:name w:val="xl126"/>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459">
    <w:name w:val="xl127"/>
    <w:basedOn w:val="1"/>
    <w:uiPriority w:val="0"/>
    <w:pPr>
      <w:widowControl/>
      <w:pBdr>
        <w:top w:val="single" w:color="auto" w:sz="4" w:space="0"/>
        <w:right w:val="single" w:color="auto" w:sz="8"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460">
    <w:name w:val="xl12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61">
    <w:name w:val="xl12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62">
    <w:name w:val="xl130"/>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463">
    <w:name w:val="xl131"/>
    <w:basedOn w:val="1"/>
    <w:qFormat/>
    <w:uiPriority w:val="0"/>
    <w:pPr>
      <w:widowControl/>
      <w:pBdr>
        <w:top w:val="single" w:color="auto" w:sz="4" w:space="0"/>
        <w:bottom w:val="single" w:color="auto" w:sz="4" w:space="0"/>
        <w:right w:val="single" w:color="auto" w:sz="8" w:space="0"/>
      </w:pBdr>
      <w:spacing w:before="100" w:beforeAutospacing="1" w:after="100" w:afterAutospacing="1"/>
      <w:jc w:val="center"/>
    </w:pPr>
    <w:rPr>
      <w:rFonts w:ascii="宋体" w:hAnsi="宋体" w:eastAsia="宋体" w:cs="宋体"/>
      <w:kern w:val="0"/>
      <w:sz w:val="24"/>
      <w:szCs w:val="24"/>
    </w:rPr>
  </w:style>
  <w:style w:type="paragraph" w:customStyle="1" w:styleId="464">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465">
    <w:name w:val="xl13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466">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467">
    <w:name w:val="xl135"/>
    <w:basedOn w:val="1"/>
    <w:qFormat/>
    <w:uiPriority w:val="0"/>
    <w:pPr>
      <w:widowControl/>
      <w:pBdr>
        <w:top w:val="single" w:color="auto" w:sz="4" w:space="0"/>
        <w:bottom w:val="single" w:color="auto" w:sz="4" w:space="0"/>
        <w:right w:val="single" w:color="auto" w:sz="8" w:space="0"/>
      </w:pBdr>
      <w:spacing w:before="100" w:beforeAutospacing="1" w:after="100" w:afterAutospacing="1"/>
      <w:jc w:val="center"/>
    </w:pPr>
    <w:rPr>
      <w:rFonts w:ascii="宋体" w:hAnsi="宋体" w:eastAsia="宋体" w:cs="宋体"/>
      <w:kern w:val="0"/>
      <w:sz w:val="24"/>
      <w:szCs w:val="24"/>
    </w:rPr>
  </w:style>
  <w:style w:type="paragraph" w:customStyle="1" w:styleId="468">
    <w:name w:val="xl136"/>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469">
    <w:name w:val="xl137"/>
    <w:basedOn w:val="1"/>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470">
    <w:name w:val="xl138"/>
    <w:basedOn w:val="1"/>
    <w:qFormat/>
    <w:uiPriority w:val="0"/>
    <w:pPr>
      <w:widowControl/>
      <w:pBdr>
        <w:lef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471">
    <w:name w:val="xl139"/>
    <w:basedOn w:val="1"/>
    <w:qFormat/>
    <w:uiPriority w:val="0"/>
    <w:pPr>
      <w:widowControl/>
      <w:pBdr>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472">
    <w:name w:val="xl140"/>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473">
    <w:name w:val="xl141"/>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474">
    <w:name w:val="xl14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6"/>
      <w:szCs w:val="16"/>
    </w:rPr>
  </w:style>
  <w:style w:type="paragraph" w:customStyle="1" w:styleId="475">
    <w:name w:val="xl143"/>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6"/>
      <w:szCs w:val="16"/>
    </w:rPr>
  </w:style>
  <w:style w:type="paragraph" w:customStyle="1" w:styleId="476">
    <w:name w:val="xl14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6"/>
      <w:szCs w:val="16"/>
    </w:rPr>
  </w:style>
  <w:style w:type="paragraph" w:customStyle="1" w:styleId="477">
    <w:name w:val="xl14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6"/>
      <w:szCs w:val="16"/>
    </w:rPr>
  </w:style>
  <w:style w:type="paragraph" w:customStyle="1" w:styleId="478">
    <w:name w:val="xl1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6"/>
      <w:szCs w:val="16"/>
    </w:rPr>
  </w:style>
  <w:style w:type="paragraph" w:customStyle="1" w:styleId="479">
    <w:name w:val="xl1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6"/>
      <w:szCs w:val="16"/>
    </w:rPr>
  </w:style>
  <w:style w:type="paragraph" w:customStyle="1" w:styleId="480">
    <w:name w:val="xl1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6"/>
      <w:szCs w:val="16"/>
    </w:rPr>
  </w:style>
  <w:style w:type="paragraph" w:customStyle="1" w:styleId="481">
    <w:name w:val="xl1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6"/>
      <w:szCs w:val="16"/>
    </w:rPr>
  </w:style>
  <w:style w:type="paragraph" w:customStyle="1" w:styleId="482">
    <w:name w:val="xl150"/>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483">
    <w:name w:val="xl151"/>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484">
    <w:name w:val="xl152"/>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485">
    <w:name w:val="xl153"/>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eastAsia="宋体" w:cs="宋体"/>
      <w:kern w:val="0"/>
      <w:sz w:val="16"/>
      <w:szCs w:val="16"/>
    </w:rPr>
  </w:style>
  <w:style w:type="paragraph" w:customStyle="1" w:styleId="486">
    <w:name w:val="xl15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6"/>
      <w:szCs w:val="16"/>
    </w:rPr>
  </w:style>
  <w:style w:type="paragraph" w:customStyle="1" w:styleId="487">
    <w:name w:val="xl155"/>
    <w:basedOn w:val="1"/>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6"/>
      <w:szCs w:val="16"/>
    </w:rPr>
  </w:style>
  <w:style w:type="paragraph" w:customStyle="1" w:styleId="488">
    <w:name w:val="TOC 标题1"/>
    <w:basedOn w:val="2"/>
    <w:next w:val="1"/>
    <w:qFormat/>
    <w:uiPriority w:val="39"/>
    <w:pPr>
      <w:spacing w:line="276" w:lineRule="auto"/>
      <w:jc w:val="left"/>
      <w:outlineLvl w:val="9"/>
    </w:pPr>
    <w:rPr>
      <w:rFonts w:ascii="Cambria" w:hAnsi="Cambria" w:eastAsia="宋体"/>
      <w:bCs/>
      <w:color w:val="365F91"/>
      <w:kern w:val="0"/>
      <w:sz w:val="28"/>
      <w:szCs w:val="28"/>
    </w:rPr>
  </w:style>
  <w:style w:type="paragraph" w:customStyle="1" w:styleId="489">
    <w:name w:val="T表格字体"/>
    <w:basedOn w:val="1"/>
    <w:uiPriority w:val="0"/>
    <w:pPr>
      <w:adjustRightInd w:val="0"/>
      <w:snapToGrid w:val="0"/>
      <w:spacing w:beforeLines="20" w:line="300" w:lineRule="auto"/>
      <w:jc w:val="center"/>
    </w:pPr>
    <w:rPr>
      <w:rFonts w:ascii="Times New Roman" w:hAnsi="Times New Roman" w:eastAsia="宋体" w:cs="Times New Roman"/>
      <w:kern w:val="0"/>
      <w:szCs w:val="24"/>
    </w:rPr>
  </w:style>
  <w:style w:type="paragraph" w:customStyle="1" w:styleId="490">
    <w:name w:val="题注-表、图、公式(编号和标题)"/>
    <w:basedOn w:val="1"/>
    <w:next w:val="1"/>
    <w:qFormat/>
    <w:uiPriority w:val="0"/>
    <w:pPr>
      <w:spacing w:before="120" w:after="120"/>
      <w:jc w:val="center"/>
    </w:pPr>
    <w:rPr>
      <w:rFonts w:ascii="Arial" w:hAnsi="Arial" w:eastAsia="黑体" w:cs="Times New Roman"/>
      <w:sz w:val="24"/>
      <w:szCs w:val="24"/>
    </w:rPr>
  </w:style>
  <w:style w:type="character" w:customStyle="1" w:styleId="491">
    <w:name w:val="批注主题 字符"/>
    <w:basedOn w:val="295"/>
    <w:link w:val="59"/>
    <w:semiHidden/>
    <w:qFormat/>
    <w:uiPriority w:val="99"/>
    <w:rPr>
      <w:rFonts w:ascii="Arial" w:hAnsi="Arial" w:eastAsia="宋体" w:cs="Times New Roman"/>
      <w:b/>
      <w:bCs/>
      <w:lang w:eastAsia="en-US"/>
    </w:rPr>
  </w:style>
  <w:style w:type="paragraph" w:customStyle="1" w:styleId="492">
    <w:name w:val="Char Char Char Char1 Char Char Char Char Char Char Char Char1"/>
    <w:basedOn w:val="1"/>
    <w:next w:val="1"/>
    <w:semiHidden/>
    <w:qFormat/>
    <w:uiPriority w:val="0"/>
    <w:pPr>
      <w:spacing w:line="360" w:lineRule="auto"/>
      <w:ind w:firstLine="200" w:firstLineChars="200"/>
    </w:pPr>
    <w:rPr>
      <w:rFonts w:ascii="宋体" w:hAnsi="宋体" w:eastAsia="宋体" w:cs="宋体"/>
      <w:sz w:val="24"/>
      <w:szCs w:val="24"/>
    </w:rPr>
  </w:style>
  <w:style w:type="paragraph" w:customStyle="1" w:styleId="493">
    <w:name w:val="修订1"/>
    <w:hidden/>
    <w:semiHidden/>
    <w:qFormat/>
    <w:uiPriority w:val="99"/>
    <w:rPr>
      <w:rFonts w:ascii="Calibri" w:hAnsi="Calibri" w:eastAsia="宋体" w:cs="Times New Roman"/>
      <w:kern w:val="2"/>
      <w:sz w:val="21"/>
      <w:szCs w:val="22"/>
      <w:lang w:val="en-US" w:eastAsia="zh-CN" w:bidi="ar-SA"/>
    </w:rPr>
  </w:style>
  <w:style w:type="paragraph" w:customStyle="1" w:styleId="494">
    <w:name w:val="font15"/>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495">
    <w:name w:val="font16"/>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496">
    <w:name w:val="Char Char5 Char Char"/>
    <w:basedOn w:val="1"/>
    <w:qFormat/>
    <w:uiPriority w:val="0"/>
    <w:rPr>
      <w:rFonts w:ascii="Times New Roman" w:hAnsi="Times New Roman" w:eastAsia="宋体" w:cs="Times New Roman"/>
      <w:szCs w:val="24"/>
    </w:rPr>
  </w:style>
  <w:style w:type="paragraph" w:customStyle="1" w:styleId="497">
    <w:name w:val="Bullet 1"/>
    <w:basedOn w:val="1"/>
    <w:next w:val="1"/>
    <w:uiPriority w:val="0"/>
    <w:pPr>
      <w:widowControl/>
      <w:tabs>
        <w:tab w:val="left" w:pos="1440"/>
      </w:tabs>
      <w:ind w:left="2160" w:hanging="720"/>
      <w:jc w:val="left"/>
    </w:pPr>
    <w:rPr>
      <w:rFonts w:ascii="Arial" w:hAnsi="Arial" w:eastAsia="宋体" w:cs="Times New Roman"/>
      <w:kern w:val="0"/>
      <w:sz w:val="20"/>
      <w:szCs w:val="20"/>
      <w:lang w:eastAsia="en-US"/>
    </w:rPr>
  </w:style>
  <w:style w:type="paragraph" w:customStyle="1" w:styleId="498">
    <w:name w:val="正文（首行式样2）"/>
    <w:basedOn w:val="18"/>
    <w:link w:val="501"/>
    <w:qFormat/>
    <w:uiPriority w:val="0"/>
    <w:pPr>
      <w:spacing w:line="360" w:lineRule="auto"/>
      <w:ind w:firstLine="480" w:firstLineChars="200"/>
    </w:pPr>
    <w:rPr>
      <w:sz w:val="24"/>
      <w:szCs w:val="24"/>
    </w:rPr>
  </w:style>
  <w:style w:type="paragraph" w:customStyle="1" w:styleId="499">
    <w:name w:val="6-表头"/>
    <w:basedOn w:val="1"/>
    <w:link w:val="500"/>
    <w:uiPriority w:val="0"/>
    <w:pPr>
      <w:adjustRightInd w:val="0"/>
      <w:snapToGrid w:val="0"/>
      <w:spacing w:line="360" w:lineRule="auto"/>
      <w:jc w:val="center"/>
    </w:pPr>
    <w:rPr>
      <w:rFonts w:ascii="宋体" w:hAnsi="宋体" w:eastAsia="宋体" w:cs="Times New Roman"/>
      <w:b/>
      <w:szCs w:val="24"/>
    </w:rPr>
  </w:style>
  <w:style w:type="character" w:customStyle="1" w:styleId="500">
    <w:name w:val="6-表头 Char"/>
    <w:link w:val="499"/>
    <w:qFormat/>
    <w:uiPriority w:val="0"/>
    <w:rPr>
      <w:rFonts w:ascii="宋体" w:hAnsi="宋体" w:eastAsia="宋体" w:cs="Times New Roman"/>
      <w:b/>
      <w:szCs w:val="24"/>
    </w:rPr>
  </w:style>
  <w:style w:type="character" w:customStyle="1" w:styleId="501">
    <w:name w:val="正文（首行式样2） Char"/>
    <w:link w:val="498"/>
    <w:qFormat/>
    <w:uiPriority w:val="0"/>
    <w:rPr>
      <w:rFonts w:ascii="Times New Roman" w:hAnsi="Times New Roman" w:eastAsia="宋体" w:cs="Times New Roman"/>
      <w:sz w:val="24"/>
      <w:szCs w:val="24"/>
    </w:rPr>
  </w:style>
  <w:style w:type="paragraph" w:customStyle="1" w:styleId="502">
    <w:name w:val="报告正文2"/>
    <w:uiPriority w:val="0"/>
    <w:pPr>
      <w:widowControl w:val="0"/>
      <w:spacing w:line="360" w:lineRule="auto"/>
      <w:ind w:firstLine="480" w:firstLineChars="200"/>
    </w:pPr>
    <w:rPr>
      <w:rFonts w:ascii="Times New Roman" w:hAnsi="Times New Roman" w:eastAsia="宋体" w:cs="Times New Roman"/>
      <w:bCs/>
      <w:snapToGrid w:val="0"/>
      <w:kern w:val="44"/>
      <w:sz w:val="24"/>
      <w:szCs w:val="24"/>
      <w:lang w:val="en-US" w:eastAsia="zh-CN" w:bidi="ar-SA"/>
    </w:rPr>
  </w:style>
  <w:style w:type="paragraph" w:customStyle="1" w:styleId="503">
    <w:name w:val="标题 2-LG"/>
    <w:basedOn w:val="4"/>
    <w:uiPriority w:val="0"/>
    <w:pPr>
      <w:adjustRightInd w:val="0"/>
      <w:spacing w:beforeLines="50" w:afterLines="50"/>
      <w:ind w:left="0" w:firstLine="0" w:firstLineChars="0"/>
    </w:pPr>
    <w:rPr>
      <w:rFonts w:eastAsia="宋体" w:cs="宋体"/>
      <w:bCs/>
      <w:spacing w:val="0"/>
      <w:kern w:val="2"/>
      <w:szCs w:val="28"/>
    </w:rPr>
  </w:style>
  <w:style w:type="paragraph" w:customStyle="1" w:styleId="504">
    <w:name w:val="标题 3-LG"/>
    <w:basedOn w:val="6"/>
    <w:qFormat/>
    <w:uiPriority w:val="0"/>
    <w:pPr>
      <w:widowControl w:val="0"/>
      <w:adjustRightInd w:val="0"/>
      <w:snapToGrid w:val="0"/>
      <w:spacing w:beforeLines="50" w:afterLines="50" w:line="360" w:lineRule="auto"/>
      <w:jc w:val="both"/>
      <w:textAlignment w:val="baseline"/>
    </w:pPr>
    <w:rPr>
      <w:rFonts w:ascii="Arial" w:hAnsi="Arial" w:cs="宋体"/>
      <w:i w:val="0"/>
      <w:iCs w:val="0"/>
      <w:color w:val="auto"/>
      <w:sz w:val="24"/>
      <w:szCs w:val="24"/>
      <w:lang w:eastAsia="zh-CN"/>
    </w:rPr>
  </w:style>
  <w:style w:type="paragraph" w:customStyle="1" w:styleId="505">
    <w:name w:val="标题 4-LG"/>
    <w:basedOn w:val="6"/>
    <w:uiPriority w:val="0"/>
    <w:pPr>
      <w:widowControl w:val="0"/>
      <w:adjustRightInd w:val="0"/>
      <w:snapToGrid w:val="0"/>
      <w:spacing w:beforeLines="50" w:afterLines="50" w:line="360" w:lineRule="auto"/>
      <w:jc w:val="both"/>
      <w:textAlignment w:val="baseline"/>
    </w:pPr>
    <w:rPr>
      <w:rFonts w:ascii="Arial" w:hAnsi="Arial" w:cs="宋体"/>
      <w:i w:val="0"/>
      <w:iCs w:val="0"/>
      <w:color w:val="auto"/>
      <w:sz w:val="24"/>
      <w:szCs w:val="24"/>
      <w:lang w:eastAsia="zh-CN"/>
    </w:rPr>
  </w:style>
  <w:style w:type="paragraph" w:customStyle="1" w:styleId="506">
    <w:name w:val="正文 楷体"/>
    <w:basedOn w:val="1"/>
    <w:qFormat/>
    <w:uiPriority w:val="0"/>
    <w:pPr>
      <w:spacing w:line="500" w:lineRule="exact"/>
      <w:ind w:firstLine="200" w:firstLineChars="200"/>
    </w:pPr>
    <w:rPr>
      <w:rFonts w:ascii="楷体_GB2312" w:hAnsi="楷体_GB2312" w:eastAsia="楷体_GB2312" w:cs="宋体"/>
      <w:sz w:val="24"/>
      <w:szCs w:val="24"/>
    </w:rPr>
  </w:style>
  <w:style w:type="character" w:customStyle="1" w:styleId="507">
    <w:name w:val="文档结构图1 Char"/>
    <w:link w:val="508"/>
    <w:qFormat/>
    <w:uiPriority w:val="0"/>
    <w:rPr>
      <w:kern w:val="1"/>
      <w:sz w:val="28"/>
      <w:szCs w:val="24"/>
      <w:shd w:val="clear" w:color="auto" w:fill="000080"/>
      <w:lang w:eastAsia="ar-SA"/>
    </w:rPr>
  </w:style>
  <w:style w:type="paragraph" w:customStyle="1" w:styleId="508">
    <w:name w:val="文档结构图1"/>
    <w:basedOn w:val="1"/>
    <w:link w:val="507"/>
    <w:qFormat/>
    <w:uiPriority w:val="0"/>
    <w:pPr>
      <w:shd w:val="clear" w:color="auto" w:fill="000080"/>
      <w:suppressAutoHyphens/>
      <w:spacing w:line="520" w:lineRule="exact"/>
    </w:pPr>
    <w:rPr>
      <w:kern w:val="1"/>
      <w:sz w:val="28"/>
      <w:szCs w:val="24"/>
      <w:lang w:eastAsia="ar-SA"/>
    </w:rPr>
  </w:style>
  <w:style w:type="paragraph" w:customStyle="1" w:styleId="509">
    <w:name w:val="样2"/>
    <w:basedOn w:val="1"/>
    <w:next w:val="1"/>
    <w:qFormat/>
    <w:uiPriority w:val="0"/>
    <w:pPr>
      <w:adjustRightInd w:val="0"/>
      <w:jc w:val="center"/>
      <w:textAlignment w:val="baseline"/>
    </w:pPr>
    <w:rPr>
      <w:rFonts w:ascii="Times New Roman" w:hAnsi="Times New Roman" w:eastAsia="宋体" w:cs="Times New Roman"/>
      <w:kern w:val="0"/>
      <w:szCs w:val="20"/>
    </w:rPr>
  </w:style>
  <w:style w:type="paragraph" w:customStyle="1" w:styleId="510">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511">
    <w:name w:val="正文 小四 行距: 1.5 倍行距"/>
    <w:basedOn w:val="1"/>
    <w:uiPriority w:val="0"/>
    <w:pPr>
      <w:spacing w:line="360" w:lineRule="auto"/>
      <w:ind w:firstLine="480" w:firstLineChars="200"/>
    </w:pPr>
    <w:rPr>
      <w:rFonts w:ascii="Times New Roman" w:hAnsi="Times New Roman" w:eastAsia="宋体" w:cs="宋体"/>
      <w:sz w:val="24"/>
      <w:szCs w:val="20"/>
    </w:rPr>
  </w:style>
  <w:style w:type="character" w:customStyle="1" w:styleId="512">
    <w:name w:val="正文缩进 字符"/>
    <w:qFormat/>
    <w:uiPriority w:val="0"/>
    <w:rPr>
      <w:rFonts w:eastAsia="宋体"/>
      <w:kern w:val="2"/>
      <w:sz w:val="28"/>
      <w:szCs w:val="24"/>
      <w:lang w:val="en-US" w:eastAsia="zh-CN" w:bidi="ar-SA"/>
    </w:rPr>
  </w:style>
  <w:style w:type="character" w:customStyle="1" w:styleId="513">
    <w:name w:val="标题 5 Char1"/>
    <w:qFormat/>
    <w:uiPriority w:val="0"/>
    <w:rPr>
      <w:rFonts w:eastAsia="宋体"/>
      <w:b/>
      <w:bCs/>
      <w:kern w:val="2"/>
      <w:sz w:val="28"/>
      <w:szCs w:val="28"/>
      <w:lang w:val="en-US" w:eastAsia="zh-CN" w:bidi="ar-SA"/>
    </w:rPr>
  </w:style>
  <w:style w:type="paragraph" w:customStyle="1" w:styleId="514">
    <w:name w:val="日期1"/>
    <w:basedOn w:val="41"/>
    <w:next w:val="1"/>
    <w:qFormat/>
    <w:uiPriority w:val="0"/>
    <w:pPr>
      <w:tabs>
        <w:tab w:val="center" w:pos="4153"/>
        <w:tab w:val="right" w:pos="8306"/>
        <w:tab w:val="clear" w:pos="4320"/>
        <w:tab w:val="clear" w:pos="8640"/>
      </w:tabs>
      <w:snapToGrid w:val="0"/>
      <w:spacing w:line="300" w:lineRule="auto"/>
    </w:pPr>
    <w:rPr>
      <w:rFonts w:ascii="宋体" w:hAnsi="宋体"/>
      <w:szCs w:val="21"/>
    </w:rPr>
  </w:style>
  <w:style w:type="paragraph" w:customStyle="1" w:styleId="515">
    <w:name w:val="表格文字中对齐"/>
    <w:basedOn w:val="1"/>
    <w:uiPriority w:val="0"/>
    <w:pPr>
      <w:tabs>
        <w:tab w:val="left" w:pos="708"/>
      </w:tabs>
      <w:jc w:val="center"/>
    </w:pPr>
    <w:rPr>
      <w:rFonts w:ascii="Arial" w:hAnsi="Arial" w:eastAsia="楷体_GB2312" w:cs="Arial"/>
      <w:color w:val="FF0000"/>
      <w:szCs w:val="21"/>
    </w:rPr>
  </w:style>
  <w:style w:type="paragraph" w:customStyle="1" w:styleId="516">
    <w:name w:val="标题5"/>
    <w:basedOn w:val="1"/>
    <w:qFormat/>
    <w:uiPriority w:val="0"/>
    <w:pPr>
      <w:tabs>
        <w:tab w:val="left" w:pos="1140"/>
      </w:tabs>
      <w:snapToGrid w:val="0"/>
      <w:spacing w:line="300" w:lineRule="auto"/>
      <w:ind w:left="1140" w:hanging="720"/>
      <w:outlineLvl w:val="2"/>
    </w:pPr>
    <w:rPr>
      <w:rFonts w:ascii="Arial Narrow" w:hAnsi="Arial Narrow" w:eastAsia="仿宋_GB2312" w:cs="Times New Roman"/>
      <w:sz w:val="24"/>
      <w:szCs w:val="24"/>
    </w:rPr>
  </w:style>
  <w:style w:type="paragraph" w:customStyle="1" w:styleId="517">
    <w:name w:val="Tabelle"/>
    <w:basedOn w:val="1"/>
    <w:qFormat/>
    <w:uiPriority w:val="0"/>
    <w:pPr>
      <w:widowControl/>
      <w:autoSpaceDE w:val="0"/>
      <w:autoSpaceDN w:val="0"/>
      <w:adjustRightInd w:val="0"/>
      <w:spacing w:before="80" w:after="80" w:line="300" w:lineRule="auto"/>
      <w:jc w:val="center"/>
    </w:pPr>
    <w:rPr>
      <w:rFonts w:ascii="Arial" w:hAnsi="Arial" w:eastAsia="宋体" w:cs="Times New Roman"/>
      <w:kern w:val="0"/>
      <w:sz w:val="20"/>
      <w:szCs w:val="20"/>
      <w:lang w:val="en-GB"/>
    </w:rPr>
  </w:style>
  <w:style w:type="character" w:customStyle="1" w:styleId="518">
    <w:name w:val="样式1 Char"/>
    <w:link w:val="107"/>
    <w:qFormat/>
    <w:uiPriority w:val="0"/>
    <w:rPr>
      <w:rFonts w:ascii="Arial" w:hAnsi="Arial" w:eastAsia="黑体" w:cs="Arial"/>
      <w:b/>
      <w:spacing w:val="26"/>
      <w:sz w:val="15"/>
      <w:szCs w:val="30"/>
    </w:rPr>
  </w:style>
  <w:style w:type="paragraph" w:customStyle="1" w:styleId="519">
    <w:name w:val="简单回函地址"/>
    <w:basedOn w:val="1"/>
    <w:qFormat/>
    <w:uiPriority w:val="0"/>
    <w:rPr>
      <w:rFonts w:ascii="Times New Roman" w:hAnsi="Times New Roman" w:eastAsia="宋体" w:cs="Times New Roman"/>
      <w:szCs w:val="24"/>
    </w:rPr>
  </w:style>
  <w:style w:type="paragraph" w:customStyle="1" w:styleId="520">
    <w:name w:val="表"/>
    <w:basedOn w:val="1"/>
    <w:uiPriority w:val="0"/>
    <w:pPr>
      <w:snapToGrid w:val="0"/>
      <w:jc w:val="center"/>
    </w:pPr>
    <w:rPr>
      <w:rFonts w:ascii="Arial Narrow" w:hAnsi="Arial Narrow" w:eastAsia="仿宋_GB2312" w:cs="Times New Roman"/>
      <w:b/>
      <w:bCs/>
      <w:szCs w:val="21"/>
    </w:rPr>
  </w:style>
  <w:style w:type="paragraph" w:customStyle="1" w:styleId="521">
    <w:name w:val="xl22"/>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522">
    <w:name w:val="重点"/>
    <w:basedOn w:val="1"/>
    <w:qFormat/>
    <w:uiPriority w:val="0"/>
    <w:pPr>
      <w:tabs>
        <w:tab w:val="left" w:pos="902"/>
      </w:tabs>
      <w:adjustRightInd w:val="0"/>
      <w:snapToGrid w:val="0"/>
      <w:spacing w:beforeLines="50" w:afterLines="50"/>
      <w:ind w:left="350" w:leftChars="200" w:hanging="150" w:hangingChars="150"/>
    </w:pPr>
    <w:rPr>
      <w:rFonts w:ascii="Arial Unicode MS" w:hAnsi="Arial Unicode MS" w:eastAsia="Arial Unicode MS" w:cs="Times New Roman"/>
      <w:b/>
      <w:bCs/>
      <w:sz w:val="24"/>
      <w:szCs w:val="24"/>
    </w:rPr>
  </w:style>
  <w:style w:type="paragraph" w:customStyle="1" w:styleId="523">
    <w:name w:val="重点1"/>
    <w:basedOn w:val="1"/>
    <w:qFormat/>
    <w:uiPriority w:val="0"/>
    <w:pPr>
      <w:tabs>
        <w:tab w:val="left" w:pos="902"/>
      </w:tabs>
      <w:adjustRightInd w:val="0"/>
      <w:snapToGrid w:val="0"/>
      <w:spacing w:beforeLines="50" w:afterLines="50"/>
      <w:ind w:left="902" w:hanging="420"/>
    </w:pPr>
    <w:rPr>
      <w:rFonts w:ascii="Arial Unicode MS" w:hAnsi="Arial Unicode MS" w:eastAsia="Arial Unicode MS" w:cs="Times New Roman"/>
      <w:b/>
      <w:bCs/>
      <w:sz w:val="24"/>
      <w:szCs w:val="24"/>
    </w:rPr>
  </w:style>
  <w:style w:type="paragraph" w:customStyle="1" w:styleId="524">
    <w:name w:val="样式6"/>
    <w:basedOn w:val="2"/>
    <w:uiPriority w:val="0"/>
    <w:pPr>
      <w:widowControl w:val="0"/>
      <w:spacing w:after="330" w:line="240" w:lineRule="auto"/>
    </w:pPr>
    <w:rPr>
      <w:b w:val="0"/>
      <w:bCs/>
      <w:color w:val="000000"/>
    </w:rPr>
  </w:style>
  <w:style w:type="paragraph" w:customStyle="1" w:styleId="525">
    <w:name w:val="样式5"/>
    <w:basedOn w:val="42"/>
    <w:qFormat/>
    <w:uiPriority w:val="0"/>
    <w:pPr>
      <w:pBdr>
        <w:bottom w:val="none" w:color="auto" w:sz="0" w:space="0"/>
      </w:pBdr>
      <w:tabs>
        <w:tab w:val="center" w:pos="4153"/>
        <w:tab w:val="right" w:pos="8306"/>
        <w:tab w:val="clear" w:pos="4320"/>
        <w:tab w:val="clear" w:pos="8640"/>
      </w:tabs>
      <w:adjustRightInd w:val="0"/>
      <w:snapToGrid w:val="0"/>
      <w:spacing w:line="240" w:lineRule="atLeast"/>
      <w:jc w:val="center"/>
      <w:textAlignment w:val="baseline"/>
    </w:pPr>
    <w:rPr>
      <w:kern w:val="0"/>
      <w:sz w:val="18"/>
      <w:szCs w:val="18"/>
    </w:rPr>
  </w:style>
  <w:style w:type="paragraph" w:customStyle="1" w:styleId="526">
    <w:name w:val="样式4"/>
    <w:basedOn w:val="42"/>
    <w:qFormat/>
    <w:uiPriority w:val="0"/>
    <w:pPr>
      <w:pBdr>
        <w:bottom w:val="none" w:color="auto" w:sz="0" w:space="0"/>
      </w:pBdr>
      <w:tabs>
        <w:tab w:val="center" w:pos="4153"/>
        <w:tab w:val="right" w:pos="8306"/>
        <w:tab w:val="clear" w:pos="4320"/>
        <w:tab w:val="clear" w:pos="8640"/>
      </w:tabs>
      <w:snapToGrid w:val="0"/>
      <w:jc w:val="center"/>
    </w:pPr>
    <w:rPr>
      <w:sz w:val="18"/>
      <w:szCs w:val="18"/>
    </w:rPr>
  </w:style>
  <w:style w:type="paragraph" w:customStyle="1" w:styleId="527">
    <w:name w:val="样式8"/>
    <w:basedOn w:val="526"/>
    <w:qFormat/>
    <w:uiPriority w:val="0"/>
  </w:style>
  <w:style w:type="paragraph" w:customStyle="1" w:styleId="528">
    <w:name w:val="样式10"/>
    <w:basedOn w:val="1"/>
    <w:next w:val="107"/>
    <w:qFormat/>
    <w:uiPriority w:val="0"/>
    <w:pPr>
      <w:adjustRightInd w:val="0"/>
      <w:snapToGrid w:val="0"/>
      <w:spacing w:line="360" w:lineRule="auto"/>
      <w:jc w:val="left"/>
    </w:pPr>
    <w:rPr>
      <w:rFonts w:ascii="Times New Roman" w:hAnsi="Times New Roman" w:eastAsia="楷体_GB2312" w:cs="Times New Roman"/>
      <w:sz w:val="30"/>
      <w:szCs w:val="28"/>
    </w:rPr>
  </w:style>
  <w:style w:type="paragraph" w:customStyle="1" w:styleId="529">
    <w:name w:val="Arial10Point4"/>
    <w:basedOn w:val="1"/>
    <w:next w:val="1"/>
    <w:uiPriority w:val="0"/>
    <w:pPr>
      <w:widowControl/>
      <w:autoSpaceDE w:val="0"/>
      <w:autoSpaceDN w:val="0"/>
      <w:jc w:val="left"/>
    </w:pPr>
    <w:rPr>
      <w:rFonts w:ascii="Arial" w:hAnsi="Arial" w:eastAsia="宋体" w:cs="Times New Roman"/>
      <w:kern w:val="0"/>
      <w:sz w:val="24"/>
      <w:szCs w:val="20"/>
    </w:rPr>
  </w:style>
  <w:style w:type="paragraph" w:customStyle="1" w:styleId="530">
    <w:name w:val="样式7"/>
    <w:basedOn w:val="108"/>
    <w:uiPriority w:val="0"/>
    <w:pPr>
      <w:pBdr>
        <w:bottom w:val="none" w:color="auto" w:sz="0" w:space="0"/>
      </w:pBdr>
      <w:tabs>
        <w:tab w:val="clear" w:pos="4320"/>
        <w:tab w:val="clear" w:pos="8640"/>
      </w:tabs>
      <w:ind w:firstLine="200" w:firstLineChars="200"/>
    </w:pPr>
    <w:rPr>
      <w:rFonts w:ascii="Arial" w:hAnsi="Arial"/>
      <w:b w:val="0"/>
      <w:color w:val="auto"/>
      <w:szCs w:val="28"/>
    </w:rPr>
  </w:style>
  <w:style w:type="paragraph" w:customStyle="1" w:styleId="531">
    <w:name w:val="正文表头"/>
    <w:basedOn w:val="1"/>
    <w:next w:val="1"/>
    <w:uiPriority w:val="0"/>
    <w:pPr>
      <w:keepNext/>
      <w:tabs>
        <w:tab w:val="center" w:pos="4253"/>
        <w:tab w:val="right" w:pos="8505"/>
      </w:tabs>
      <w:overflowPunct w:val="0"/>
      <w:adjustRightInd w:val="0"/>
      <w:spacing w:before="120" w:line="360" w:lineRule="auto"/>
      <w:jc w:val="center"/>
      <w:textAlignment w:val="baseline"/>
    </w:pPr>
    <w:rPr>
      <w:rFonts w:ascii="Times New Roman" w:hAnsi="Times New Roman" w:eastAsia="黑体" w:cs="Times New Roman"/>
      <w:kern w:val="0"/>
      <w:sz w:val="28"/>
      <w:szCs w:val="20"/>
    </w:rPr>
  </w:style>
  <w:style w:type="paragraph" w:customStyle="1" w:styleId="532">
    <w:name w:val="Char1"/>
    <w:basedOn w:val="1"/>
    <w:qFormat/>
    <w:uiPriority w:val="0"/>
    <w:rPr>
      <w:rFonts w:ascii="Times New Roman" w:hAnsi="Times New Roman" w:eastAsia="宋体" w:cs="Times New Roman"/>
      <w:szCs w:val="24"/>
    </w:rPr>
  </w:style>
  <w:style w:type="paragraph" w:customStyle="1" w:styleId="533">
    <w:name w:val="标准文本 首行缩进:2 字符 行距1倍 Char"/>
    <w:basedOn w:val="1"/>
    <w:qFormat/>
    <w:uiPriority w:val="0"/>
    <w:pPr>
      <w:adjustRightInd w:val="0"/>
      <w:snapToGrid w:val="0"/>
      <w:spacing w:line="300" w:lineRule="auto"/>
      <w:ind w:firstLine="540" w:firstLineChars="225"/>
      <w:textAlignment w:val="center"/>
    </w:pPr>
    <w:rPr>
      <w:rFonts w:ascii="宋体" w:hAnsi="宋体" w:eastAsia="楷体_GB2312" w:cs="Arial"/>
      <w:bCs/>
      <w:color w:val="000000"/>
      <w:sz w:val="24"/>
      <w:szCs w:val="24"/>
    </w:rPr>
  </w:style>
  <w:style w:type="paragraph" w:customStyle="1" w:styleId="534">
    <w:name w:val="样式 小四 居中"/>
    <w:basedOn w:val="1"/>
    <w:qFormat/>
    <w:uiPriority w:val="0"/>
    <w:pPr>
      <w:jc w:val="center"/>
    </w:pPr>
    <w:rPr>
      <w:rFonts w:ascii="Times New Roman" w:hAnsi="Times New Roman" w:eastAsia="楷体_GB2312" w:cs="宋体"/>
      <w:sz w:val="24"/>
      <w:szCs w:val="20"/>
    </w:rPr>
  </w:style>
  <w:style w:type="paragraph" w:customStyle="1" w:styleId="535">
    <w:name w:val="样式 小四 居中 行距: 固定值 20 磅"/>
    <w:basedOn w:val="1"/>
    <w:qFormat/>
    <w:uiPriority w:val="0"/>
    <w:pPr>
      <w:spacing w:line="360" w:lineRule="auto"/>
      <w:jc w:val="center"/>
    </w:pPr>
    <w:rPr>
      <w:rFonts w:ascii="Times New Roman" w:hAnsi="Times New Roman" w:eastAsia="楷体_GB2312" w:cs="宋体"/>
      <w:sz w:val="24"/>
      <w:szCs w:val="20"/>
    </w:rPr>
  </w:style>
  <w:style w:type="paragraph" w:customStyle="1" w:styleId="536">
    <w:name w:val="样式 小四 红色 居中"/>
    <w:basedOn w:val="1"/>
    <w:qFormat/>
    <w:uiPriority w:val="0"/>
    <w:pPr>
      <w:jc w:val="center"/>
    </w:pPr>
    <w:rPr>
      <w:rFonts w:ascii="Times New Roman" w:hAnsi="Times New Roman" w:eastAsia="楷体_GB2312" w:cs="宋体"/>
      <w:color w:val="FF0000"/>
      <w:sz w:val="24"/>
      <w:szCs w:val="20"/>
    </w:rPr>
  </w:style>
  <w:style w:type="paragraph" w:customStyle="1" w:styleId="537">
    <w:name w:val="Char Char Char1 Char1"/>
    <w:basedOn w:val="1"/>
    <w:semiHidden/>
    <w:qFormat/>
    <w:uiPriority w:val="0"/>
    <w:rPr>
      <w:rFonts w:ascii="Times New Roman" w:hAnsi="Times New Roman" w:eastAsia="宋体" w:cs="Times New Roman"/>
      <w:szCs w:val="24"/>
    </w:rPr>
  </w:style>
  <w:style w:type="character" w:customStyle="1" w:styleId="538">
    <w:name w:val="正文首行缩进 Char1"/>
    <w:uiPriority w:val="0"/>
    <w:rPr>
      <w:rFonts w:ascii="宋体" w:hAnsi="宋体" w:eastAsia="宋体"/>
      <w:kern w:val="2"/>
      <w:sz w:val="21"/>
      <w:szCs w:val="24"/>
      <w:lang w:val="en-US" w:eastAsia="zh-CN" w:bidi="ar-SA"/>
    </w:rPr>
  </w:style>
  <w:style w:type="character" w:customStyle="1" w:styleId="539">
    <w:name w:val="Char Char41"/>
    <w:uiPriority w:val="0"/>
    <w:rPr>
      <w:rFonts w:ascii="宋体" w:hAnsi="宋体" w:eastAsia="宋体"/>
      <w:kern w:val="2"/>
      <w:sz w:val="28"/>
      <w:szCs w:val="28"/>
      <w:lang w:val="en-US" w:eastAsia="zh-CN" w:bidi="ar-SA"/>
    </w:rPr>
  </w:style>
  <w:style w:type="paragraph" w:customStyle="1" w:styleId="540">
    <w:name w:val="默认段落字体 Para Char Char Char Char Char"/>
    <w:basedOn w:val="1"/>
    <w:qFormat/>
    <w:uiPriority w:val="0"/>
    <w:rPr>
      <w:rFonts w:ascii="Times New Roman" w:hAnsi="Times New Roman" w:eastAsia="宋体" w:cs="Times New Roman"/>
      <w:szCs w:val="24"/>
    </w:rPr>
  </w:style>
  <w:style w:type="paragraph" w:customStyle="1" w:styleId="541">
    <w:name w:val="内容"/>
    <w:basedOn w:val="61"/>
    <w:qFormat/>
    <w:uiPriority w:val="0"/>
    <w:pPr>
      <w:spacing w:after="0" w:line="500" w:lineRule="exact"/>
      <w:ind w:left="0" w:leftChars="0" w:firstLine="200"/>
    </w:pPr>
    <w:rPr>
      <w:sz w:val="28"/>
      <w:szCs w:val="28"/>
    </w:rPr>
  </w:style>
  <w:style w:type="character" w:customStyle="1" w:styleId="542">
    <w:name w:val="正文文本首行缩进 2 字符"/>
    <w:basedOn w:val="114"/>
    <w:link w:val="61"/>
    <w:qFormat/>
    <w:uiPriority w:val="0"/>
    <w:rPr>
      <w:rFonts w:ascii="Times New Roman" w:hAnsi="Times New Roman" w:eastAsia="楷体_GB2312" w:cs="Times New Roman"/>
      <w:szCs w:val="24"/>
    </w:rPr>
  </w:style>
  <w:style w:type="paragraph" w:customStyle="1" w:styleId="543">
    <w:name w:val="样式 宋体 小四 黑色 行距: 1.5 倍行距"/>
    <w:basedOn w:val="1"/>
    <w:uiPriority w:val="0"/>
    <w:pPr>
      <w:spacing w:beforeLines="30" w:afterLines="30" w:line="360" w:lineRule="auto"/>
      <w:ind w:firstLine="200" w:firstLineChars="200"/>
    </w:pPr>
    <w:rPr>
      <w:rFonts w:ascii="宋体" w:hAnsi="宋体" w:eastAsia="宋体" w:cs="宋体"/>
      <w:color w:val="000000"/>
      <w:spacing w:val="12"/>
      <w:sz w:val="24"/>
      <w:szCs w:val="20"/>
    </w:rPr>
  </w:style>
  <w:style w:type="paragraph" w:customStyle="1" w:styleId="544">
    <w:name w:val="Char Char Char1"/>
    <w:basedOn w:val="1"/>
    <w:uiPriority w:val="0"/>
    <w:rPr>
      <w:rFonts w:ascii="Times New Roman" w:hAnsi="Times New Roman" w:eastAsia="宋体" w:cs="Times New Roman"/>
      <w:szCs w:val="24"/>
    </w:rPr>
  </w:style>
  <w:style w:type="paragraph" w:customStyle="1" w:styleId="545">
    <w:name w:val="q4"/>
    <w:basedOn w:val="1"/>
    <w:qFormat/>
    <w:uiPriority w:val="0"/>
    <w:pPr>
      <w:keepNext/>
      <w:keepLines/>
      <w:tabs>
        <w:tab w:val="left" w:pos="851"/>
      </w:tabs>
      <w:adjustRightInd w:val="0"/>
      <w:spacing w:before="120" w:after="120" w:line="300" w:lineRule="exact"/>
      <w:ind w:firstLine="510"/>
      <w:jc w:val="left"/>
      <w:textAlignment w:val="baseline"/>
    </w:pPr>
    <w:rPr>
      <w:rFonts w:ascii="Arial" w:hAnsi="Arial" w:eastAsia="宋体" w:cs="Times New Roman"/>
      <w:b/>
      <w:color w:val="000000"/>
      <w:kern w:val="44"/>
      <w:sz w:val="24"/>
      <w:szCs w:val="20"/>
    </w:rPr>
  </w:style>
  <w:style w:type="paragraph" w:customStyle="1" w:styleId="546">
    <w:name w:val="hh"/>
    <w:basedOn w:val="1"/>
    <w:qFormat/>
    <w:uiPriority w:val="0"/>
    <w:pPr>
      <w:adjustRightInd w:val="0"/>
      <w:ind w:firstLine="567"/>
      <w:textAlignment w:val="baseline"/>
    </w:pPr>
    <w:rPr>
      <w:rFonts w:ascii="Times New Roman" w:hAnsi="Times New Roman" w:eastAsia="宋体" w:cs="Times New Roman"/>
      <w:color w:val="000000"/>
      <w:kern w:val="0"/>
      <w:sz w:val="28"/>
      <w:szCs w:val="20"/>
    </w:rPr>
  </w:style>
  <w:style w:type="paragraph" w:customStyle="1" w:styleId="547">
    <w:name w:val="Char Char Char Char Char Char"/>
    <w:basedOn w:val="1"/>
    <w:qFormat/>
    <w:uiPriority w:val="0"/>
    <w:rPr>
      <w:rFonts w:ascii="Times New Roman" w:hAnsi="Times New Roman" w:eastAsia="宋体" w:cs="Times New Roman"/>
      <w:szCs w:val="24"/>
    </w:rPr>
  </w:style>
  <w:style w:type="paragraph" w:customStyle="1" w:styleId="548">
    <w:name w:val="s0"/>
    <w:qFormat/>
    <w:uiPriority w:val="0"/>
    <w:pPr>
      <w:widowControl w:val="0"/>
      <w:autoSpaceDE w:val="0"/>
      <w:autoSpaceDN w:val="0"/>
      <w:adjustRightInd w:val="0"/>
    </w:pPr>
    <w:rPr>
      <w:rFonts w:ascii="????" w:hAnsi="Times New Roman" w:eastAsia="????" w:cs="Times New Roman"/>
      <w:lang w:val="en-US" w:eastAsia="zh-CN" w:bidi="ar-SA"/>
    </w:rPr>
  </w:style>
  <w:style w:type="paragraph" w:customStyle="1" w:styleId="549">
    <w:name w:val="4标"/>
    <w:basedOn w:val="1"/>
    <w:qFormat/>
    <w:uiPriority w:val="0"/>
    <w:pPr>
      <w:keepNext/>
      <w:keepLines/>
      <w:spacing w:beforeLines="50" w:afterLines="50"/>
      <w:outlineLvl w:val="3"/>
    </w:pPr>
    <w:rPr>
      <w:rFonts w:ascii="Times New Roman" w:hAnsi="Times New Roman" w:eastAsia="黑体" w:cs="宋体"/>
      <w:szCs w:val="20"/>
    </w:rPr>
  </w:style>
  <w:style w:type="character" w:customStyle="1" w:styleId="550">
    <w:name w:val="标题 2 Char Char"/>
    <w:qFormat/>
    <w:uiPriority w:val="0"/>
    <w:rPr>
      <w:rFonts w:ascii="宋体" w:hAnsi="宋体" w:eastAsia="宋体"/>
      <w:b/>
      <w:kern w:val="2"/>
      <w:sz w:val="28"/>
      <w:lang w:val="en-US" w:eastAsia="zh-CN" w:bidi="ar-SA"/>
    </w:rPr>
  </w:style>
  <w:style w:type="character" w:customStyle="1" w:styleId="551">
    <w:name w:val="标题 4 Char Char"/>
    <w:qFormat/>
    <w:uiPriority w:val="0"/>
    <w:rPr>
      <w:rFonts w:ascii="Arial" w:hAnsi="Arial" w:eastAsia="黑体"/>
      <w:b/>
      <w:sz w:val="28"/>
      <w:lang w:val="en-US" w:eastAsia="zh-CN" w:bidi="ar-SA"/>
    </w:rPr>
  </w:style>
  <w:style w:type="character" w:customStyle="1" w:styleId="552">
    <w:name w:val="articlebody1"/>
    <w:uiPriority w:val="0"/>
    <w:rPr>
      <w:sz w:val="21"/>
      <w:szCs w:val="21"/>
    </w:rPr>
  </w:style>
  <w:style w:type="paragraph" w:customStyle="1" w:styleId="553">
    <w:name w:val="pa-3"/>
    <w:basedOn w:val="1"/>
    <w:qFormat/>
    <w:uiPriority w:val="0"/>
    <w:pPr>
      <w:widowControl/>
      <w:spacing w:line="360" w:lineRule="atLeast"/>
      <w:ind w:firstLine="640"/>
    </w:pPr>
    <w:rPr>
      <w:rFonts w:ascii="宋体" w:hAnsi="宋体" w:eastAsia="宋体" w:cs="宋体"/>
      <w:kern w:val="0"/>
      <w:sz w:val="24"/>
      <w:szCs w:val="24"/>
    </w:rPr>
  </w:style>
  <w:style w:type="character" w:customStyle="1" w:styleId="554">
    <w:name w:val="Char Char5"/>
    <w:qFormat/>
    <w:uiPriority w:val="0"/>
    <w:rPr>
      <w:rFonts w:ascii="宋体" w:hAnsi="宋体"/>
      <w:sz w:val="24"/>
    </w:rPr>
  </w:style>
  <w:style w:type="paragraph" w:customStyle="1" w:styleId="555">
    <w:name w:val="Char Char1 Char Char Char Char Char Char Char"/>
    <w:basedOn w:val="1"/>
    <w:uiPriority w:val="0"/>
    <w:pPr>
      <w:widowControl/>
      <w:spacing w:after="160" w:line="240" w:lineRule="exact"/>
      <w:jc w:val="left"/>
    </w:pPr>
    <w:rPr>
      <w:rFonts w:ascii="Arial" w:hAnsi="Arial" w:eastAsia="Times New Roman" w:cs="Verdana"/>
      <w:b/>
      <w:kern w:val="0"/>
      <w:sz w:val="24"/>
      <w:szCs w:val="24"/>
      <w:lang w:eastAsia="en-US"/>
    </w:rPr>
  </w:style>
  <w:style w:type="character" w:customStyle="1" w:styleId="556">
    <w:name w:val="large1"/>
    <w:qFormat/>
    <w:uiPriority w:val="0"/>
    <w:rPr>
      <w:rFonts w:hint="eastAsia" w:ascii="宋体" w:hAnsi="宋体" w:eastAsia="宋体"/>
      <w:sz w:val="22"/>
      <w:szCs w:val="22"/>
    </w:rPr>
  </w:style>
  <w:style w:type="paragraph" w:customStyle="1" w:styleId="557">
    <w:name w:val="05"/>
    <w:basedOn w:val="1"/>
    <w:qFormat/>
    <w:uiPriority w:val="0"/>
    <w:pPr>
      <w:spacing w:line="360" w:lineRule="auto"/>
      <w:ind w:firstLine="538" w:firstLineChars="192"/>
    </w:pPr>
    <w:rPr>
      <w:rFonts w:ascii="Times New Roman" w:hAnsi="Times New Roman" w:eastAsia="楷体_GB2312" w:cs="Times New Roman"/>
      <w:sz w:val="28"/>
      <w:szCs w:val="28"/>
    </w:rPr>
  </w:style>
  <w:style w:type="character" w:customStyle="1" w:styleId="558">
    <w:name w:val="Normal Char"/>
    <w:link w:val="427"/>
    <w:qFormat/>
    <w:uiPriority w:val="0"/>
    <w:rPr>
      <w:rFonts w:ascii="宋体" w:hAnsi="Times New Roman" w:eastAsia="宋体" w:cs="Times New Roman"/>
      <w:kern w:val="0"/>
      <w:sz w:val="18"/>
      <w:szCs w:val="20"/>
    </w:rPr>
  </w:style>
  <w:style w:type="paragraph" w:customStyle="1" w:styleId="559">
    <w:name w:val="样式 首行缩进:  2 字符"/>
    <w:basedOn w:val="1"/>
    <w:uiPriority w:val="0"/>
    <w:pPr>
      <w:adjustRightInd w:val="0"/>
      <w:snapToGrid w:val="0"/>
      <w:spacing w:line="360" w:lineRule="auto"/>
      <w:ind w:firstLine="560" w:firstLineChars="200"/>
    </w:pPr>
    <w:rPr>
      <w:rFonts w:ascii="Arial" w:hAnsi="Arial" w:eastAsia="楷体_GB2312" w:cs="宋体"/>
      <w:sz w:val="28"/>
      <w:szCs w:val="28"/>
    </w:rPr>
  </w:style>
  <w:style w:type="paragraph" w:customStyle="1" w:styleId="560">
    <w:name w:val="样式 (西文) 楷体_GB2312 (中文) 楷体_GB2312 (符号) 宋体 四号 黑色 首行缩进:  2 字符"/>
    <w:basedOn w:val="1"/>
    <w:qFormat/>
    <w:uiPriority w:val="0"/>
    <w:pPr>
      <w:adjustRightInd w:val="0"/>
      <w:snapToGrid w:val="0"/>
      <w:spacing w:line="360" w:lineRule="auto"/>
      <w:ind w:firstLine="560" w:firstLineChars="200"/>
    </w:pPr>
    <w:rPr>
      <w:rFonts w:ascii="Arial" w:hAnsi="Arial" w:eastAsia="楷体_GB2312" w:cs="宋体"/>
      <w:color w:val="000000"/>
      <w:sz w:val="28"/>
      <w:szCs w:val="28"/>
    </w:rPr>
  </w:style>
  <w:style w:type="character" w:customStyle="1" w:styleId="561">
    <w:name w:val="正文缩 Char"/>
    <w:link w:val="329"/>
    <w:qFormat/>
    <w:uiPriority w:val="0"/>
    <w:rPr>
      <w:rFonts w:ascii="宋体" w:hAnsi="Times New Roman" w:eastAsia="宋体" w:cs="Times New Roman"/>
      <w:spacing w:val="6"/>
      <w:kern w:val="0"/>
      <w:sz w:val="28"/>
      <w:szCs w:val="20"/>
    </w:rPr>
  </w:style>
  <w:style w:type="character" w:customStyle="1" w:styleId="562">
    <w:name w:val="Char Char9"/>
    <w:qFormat/>
    <w:uiPriority w:val="0"/>
    <w:rPr>
      <w:rFonts w:ascii="楷体_GB2312" w:eastAsia="楷体_GB2312"/>
      <w:kern w:val="2"/>
      <w:sz w:val="30"/>
      <w:szCs w:val="24"/>
      <w:lang w:val="en-US" w:eastAsia="zh-CN" w:bidi="ar-SA"/>
    </w:rPr>
  </w:style>
  <w:style w:type="paragraph" w:customStyle="1" w:styleId="563">
    <w:name w:val="样式 (西文) 仿宋_GB2312 (中文) 仿宋_GB2312 四号 加粗 首行缩进:  2 字符"/>
    <w:basedOn w:val="1"/>
    <w:uiPriority w:val="0"/>
    <w:pPr>
      <w:spacing w:line="360" w:lineRule="auto"/>
      <w:ind w:firstLine="200" w:firstLineChars="200"/>
    </w:pPr>
    <w:rPr>
      <w:rFonts w:ascii="仿宋_GB2312" w:hAnsi="Calibri" w:eastAsia="仿宋_GB2312" w:cs="宋体"/>
      <w:b/>
      <w:bCs/>
      <w:sz w:val="28"/>
      <w:szCs w:val="20"/>
    </w:rPr>
  </w:style>
  <w:style w:type="paragraph" w:customStyle="1" w:styleId="564">
    <w:name w:val="表头"/>
    <w:basedOn w:val="1"/>
    <w:next w:val="1"/>
    <w:uiPriority w:val="0"/>
    <w:pPr>
      <w:topLinePunct/>
      <w:spacing w:line="360" w:lineRule="auto"/>
      <w:jc w:val="center"/>
    </w:pPr>
    <w:rPr>
      <w:rFonts w:ascii="Times New Roman" w:hAnsi="Times New Roman" w:eastAsia="宋体" w:cs="Times New Roman"/>
      <w:kern w:val="0"/>
      <w:sz w:val="24"/>
      <w:szCs w:val="20"/>
    </w:rPr>
  </w:style>
  <w:style w:type="paragraph" w:customStyle="1" w:styleId="565">
    <w:name w:val="标题六"/>
    <w:basedOn w:val="1"/>
    <w:qFormat/>
    <w:uiPriority w:val="0"/>
    <w:pPr>
      <w:tabs>
        <w:tab w:val="left" w:pos="420"/>
      </w:tabs>
      <w:adjustRightInd w:val="0"/>
      <w:snapToGrid w:val="0"/>
      <w:spacing w:line="360" w:lineRule="auto"/>
    </w:pPr>
    <w:rPr>
      <w:rFonts w:ascii="Times New Roman" w:hAnsi="Times New Roman" w:eastAsia="宋体" w:cs="Times New Roman"/>
      <w:b/>
      <w:color w:val="000000"/>
      <w:sz w:val="24"/>
      <w:szCs w:val="24"/>
    </w:rPr>
  </w:style>
  <w:style w:type="character" w:customStyle="1" w:styleId="566">
    <w:name w:val="Char Char14"/>
    <w:qFormat/>
    <w:uiPriority w:val="0"/>
    <w:rPr>
      <w:rFonts w:ascii="宋体" w:eastAsia="宋体"/>
      <w:sz w:val="18"/>
      <w:lang w:val="en-US" w:eastAsia="zh-CN" w:bidi="ar-SA"/>
    </w:rPr>
  </w:style>
  <w:style w:type="character" w:customStyle="1" w:styleId="567">
    <w:name w:val="标题 3 Char Char"/>
    <w:uiPriority w:val="0"/>
    <w:rPr>
      <w:rFonts w:eastAsia="宋体"/>
      <w:b/>
      <w:color w:val="008000"/>
      <w:kern w:val="2"/>
      <w:sz w:val="24"/>
      <w:szCs w:val="24"/>
      <w:lang w:val="en-US" w:eastAsia="zh-CN" w:bidi="ar-SA"/>
    </w:rPr>
  </w:style>
  <w:style w:type="character" w:customStyle="1" w:styleId="568">
    <w:name w:val="A Char"/>
    <w:link w:val="569"/>
    <w:qFormat/>
    <w:uiPriority w:val="0"/>
    <w:rPr>
      <w:rFonts w:ascii="宋体" w:hAnsi="宋体"/>
      <w:b/>
      <w:sz w:val="28"/>
      <w:szCs w:val="28"/>
      <w:lang w:eastAsia="en-US" w:bidi="en-US"/>
    </w:rPr>
  </w:style>
  <w:style w:type="paragraph" w:customStyle="1" w:styleId="569">
    <w:name w:val="A"/>
    <w:basedOn w:val="1"/>
    <w:link w:val="568"/>
    <w:qFormat/>
    <w:uiPriority w:val="0"/>
    <w:pPr>
      <w:widowControl/>
      <w:spacing w:line="360" w:lineRule="auto"/>
      <w:ind w:firstLine="561" w:firstLineChars="200"/>
      <w:jc w:val="left"/>
    </w:pPr>
    <w:rPr>
      <w:rFonts w:ascii="宋体" w:hAnsi="宋体"/>
      <w:b/>
      <w:sz w:val="28"/>
      <w:szCs w:val="28"/>
      <w:lang w:eastAsia="en-US" w:bidi="en-US"/>
    </w:rPr>
  </w:style>
  <w:style w:type="paragraph" w:customStyle="1" w:styleId="570">
    <w:name w:val="标题样式2"/>
    <w:basedOn w:val="1"/>
    <w:link w:val="571"/>
    <w:qFormat/>
    <w:uiPriority w:val="0"/>
    <w:pPr>
      <w:widowControl/>
      <w:spacing w:before="240" w:line="360" w:lineRule="auto"/>
      <w:ind w:firstLine="561" w:firstLineChars="200"/>
      <w:jc w:val="left"/>
    </w:pPr>
    <w:rPr>
      <w:rFonts w:ascii="宋体" w:hAnsi="宋体" w:eastAsia="宋体" w:cs="Times New Roman"/>
      <w:b/>
      <w:color w:val="000000"/>
      <w:kern w:val="0"/>
      <w:sz w:val="28"/>
      <w:szCs w:val="24"/>
      <w:lang w:eastAsia="en-US" w:bidi="en-US"/>
    </w:rPr>
  </w:style>
  <w:style w:type="character" w:customStyle="1" w:styleId="571">
    <w:name w:val="标题样式2 Char"/>
    <w:link w:val="570"/>
    <w:qFormat/>
    <w:uiPriority w:val="0"/>
    <w:rPr>
      <w:rFonts w:ascii="宋体" w:hAnsi="宋体" w:eastAsia="宋体" w:cs="Times New Roman"/>
      <w:b/>
      <w:color w:val="000000"/>
      <w:kern w:val="0"/>
      <w:sz w:val="28"/>
      <w:szCs w:val="24"/>
      <w:lang w:eastAsia="en-US" w:bidi="en-US"/>
    </w:rPr>
  </w:style>
  <w:style w:type="character" w:customStyle="1" w:styleId="572">
    <w:name w:val="000 Char"/>
    <w:link w:val="257"/>
    <w:qFormat/>
    <w:uiPriority w:val="0"/>
    <w:rPr>
      <w:rFonts w:ascii="Arial" w:hAnsi="Arial" w:eastAsia="楷体_GB2312" w:cs="宋体"/>
      <w:color w:val="000000"/>
      <w:sz w:val="24"/>
      <w:szCs w:val="20"/>
    </w:rPr>
  </w:style>
  <w:style w:type="paragraph" w:customStyle="1" w:styleId="573">
    <w:name w:val="022"/>
    <w:basedOn w:val="1"/>
    <w:link w:val="574"/>
    <w:qFormat/>
    <w:uiPriority w:val="0"/>
    <w:pPr>
      <w:widowControl/>
      <w:spacing w:line="360" w:lineRule="auto"/>
      <w:ind w:firstLine="480" w:firstLineChars="200"/>
      <w:jc w:val="left"/>
    </w:pPr>
    <w:rPr>
      <w:rFonts w:ascii="宋体" w:hAnsi="Courier New" w:eastAsia="宋体" w:cs="Times New Roman"/>
      <w:kern w:val="0"/>
      <w:sz w:val="24"/>
      <w:szCs w:val="24"/>
      <w:lang w:eastAsia="en-US" w:bidi="en-US"/>
    </w:rPr>
  </w:style>
  <w:style w:type="character" w:customStyle="1" w:styleId="574">
    <w:name w:val="022 Char"/>
    <w:link w:val="573"/>
    <w:qFormat/>
    <w:uiPriority w:val="0"/>
    <w:rPr>
      <w:rFonts w:ascii="宋体" w:hAnsi="Courier New" w:eastAsia="宋体" w:cs="Times New Roman"/>
      <w:kern w:val="0"/>
      <w:sz w:val="24"/>
      <w:szCs w:val="24"/>
      <w:lang w:eastAsia="en-US" w:bidi="en-US"/>
    </w:rPr>
  </w:style>
  <w:style w:type="paragraph" w:customStyle="1" w:styleId="575">
    <w:name w:val="B"/>
    <w:basedOn w:val="1"/>
    <w:link w:val="576"/>
    <w:uiPriority w:val="0"/>
    <w:pPr>
      <w:widowControl/>
      <w:spacing w:line="360" w:lineRule="auto"/>
      <w:ind w:firstLine="480" w:firstLineChars="200"/>
      <w:jc w:val="left"/>
    </w:pPr>
    <w:rPr>
      <w:rFonts w:ascii="Calibri" w:hAnsi="Calibri" w:eastAsia="宋体" w:cs="Times New Roman"/>
      <w:kern w:val="0"/>
      <w:sz w:val="24"/>
      <w:szCs w:val="24"/>
      <w:lang w:eastAsia="en-US" w:bidi="en-US"/>
    </w:rPr>
  </w:style>
  <w:style w:type="character" w:customStyle="1" w:styleId="576">
    <w:name w:val="B Char"/>
    <w:link w:val="575"/>
    <w:qFormat/>
    <w:uiPriority w:val="0"/>
    <w:rPr>
      <w:rFonts w:ascii="Calibri" w:hAnsi="Calibri" w:eastAsia="宋体" w:cs="Times New Roman"/>
      <w:kern w:val="0"/>
      <w:sz w:val="24"/>
      <w:szCs w:val="24"/>
      <w:lang w:eastAsia="en-US" w:bidi="en-US"/>
    </w:rPr>
  </w:style>
  <w:style w:type="paragraph" w:customStyle="1" w:styleId="577">
    <w:name w:val="C"/>
    <w:basedOn w:val="34"/>
    <w:link w:val="578"/>
    <w:qFormat/>
    <w:uiPriority w:val="0"/>
    <w:pPr>
      <w:widowControl/>
      <w:spacing w:line="360" w:lineRule="auto"/>
      <w:ind w:firstLine="480" w:firstLineChars="200"/>
      <w:jc w:val="left"/>
    </w:pPr>
    <w:rPr>
      <w:kern w:val="0"/>
      <w:sz w:val="24"/>
      <w:szCs w:val="24"/>
      <w:lang w:eastAsia="en-US" w:bidi="en-US"/>
    </w:rPr>
  </w:style>
  <w:style w:type="character" w:customStyle="1" w:styleId="578">
    <w:name w:val="C Char"/>
    <w:link w:val="577"/>
    <w:qFormat/>
    <w:uiPriority w:val="0"/>
    <w:rPr>
      <w:rFonts w:ascii="宋体" w:hAnsi="Courier New" w:eastAsia="宋体" w:cs="Times New Roman"/>
      <w:kern w:val="0"/>
      <w:sz w:val="24"/>
      <w:szCs w:val="24"/>
      <w:lang w:eastAsia="en-US" w:bidi="en-US"/>
    </w:rPr>
  </w:style>
  <w:style w:type="paragraph" w:customStyle="1" w:styleId="579">
    <w:name w:val="D"/>
    <w:basedOn w:val="34"/>
    <w:link w:val="580"/>
    <w:uiPriority w:val="0"/>
    <w:pPr>
      <w:widowControl/>
      <w:spacing w:line="360" w:lineRule="auto"/>
      <w:ind w:firstLine="480" w:firstLineChars="200"/>
      <w:jc w:val="left"/>
    </w:pPr>
    <w:rPr>
      <w:kern w:val="0"/>
      <w:sz w:val="24"/>
      <w:szCs w:val="24"/>
      <w:lang w:eastAsia="en-US" w:bidi="en-US"/>
    </w:rPr>
  </w:style>
  <w:style w:type="character" w:customStyle="1" w:styleId="580">
    <w:name w:val="D Char"/>
    <w:link w:val="579"/>
    <w:qFormat/>
    <w:uiPriority w:val="0"/>
    <w:rPr>
      <w:rFonts w:ascii="宋体" w:hAnsi="Courier New" w:eastAsia="宋体" w:cs="Times New Roman"/>
      <w:kern w:val="0"/>
      <w:sz w:val="24"/>
      <w:szCs w:val="24"/>
      <w:lang w:eastAsia="en-US" w:bidi="en-US"/>
    </w:rPr>
  </w:style>
  <w:style w:type="paragraph" w:customStyle="1" w:styleId="581">
    <w:name w:val="E"/>
    <w:basedOn w:val="1"/>
    <w:link w:val="582"/>
    <w:qFormat/>
    <w:uiPriority w:val="0"/>
    <w:pPr>
      <w:widowControl/>
      <w:spacing w:line="360" w:lineRule="auto"/>
      <w:ind w:firstLine="480" w:firstLineChars="200"/>
      <w:jc w:val="left"/>
    </w:pPr>
    <w:rPr>
      <w:rFonts w:ascii="Calibri" w:hAnsi="Calibri" w:eastAsia="宋体" w:cs="Times New Roman"/>
      <w:kern w:val="0"/>
      <w:sz w:val="24"/>
      <w:szCs w:val="24"/>
      <w:lang w:eastAsia="en-US" w:bidi="en-US"/>
    </w:rPr>
  </w:style>
  <w:style w:type="character" w:customStyle="1" w:styleId="582">
    <w:name w:val="E Char"/>
    <w:link w:val="581"/>
    <w:qFormat/>
    <w:uiPriority w:val="0"/>
    <w:rPr>
      <w:rFonts w:ascii="Calibri" w:hAnsi="Calibri" w:eastAsia="宋体" w:cs="Times New Roman"/>
      <w:kern w:val="0"/>
      <w:sz w:val="24"/>
      <w:szCs w:val="24"/>
      <w:lang w:eastAsia="en-US" w:bidi="en-US"/>
    </w:rPr>
  </w:style>
  <w:style w:type="paragraph" w:customStyle="1" w:styleId="583">
    <w:name w:val="a"/>
    <w:basedOn w:val="1"/>
    <w:link w:val="584"/>
    <w:uiPriority w:val="0"/>
    <w:pPr>
      <w:widowControl/>
      <w:spacing w:line="360" w:lineRule="auto"/>
      <w:ind w:firstLine="480" w:firstLineChars="200"/>
      <w:jc w:val="left"/>
    </w:pPr>
    <w:rPr>
      <w:rFonts w:ascii="Calibri" w:hAnsi="Calibri" w:eastAsia="宋体" w:cs="Times New Roman"/>
      <w:kern w:val="0"/>
      <w:sz w:val="24"/>
      <w:szCs w:val="24"/>
      <w:lang w:eastAsia="en-US" w:bidi="en-US"/>
    </w:rPr>
  </w:style>
  <w:style w:type="character" w:customStyle="1" w:styleId="584">
    <w:name w:val="a Char"/>
    <w:link w:val="583"/>
    <w:qFormat/>
    <w:uiPriority w:val="0"/>
    <w:rPr>
      <w:rFonts w:ascii="Calibri" w:hAnsi="Calibri" w:eastAsia="宋体" w:cs="Times New Roman"/>
      <w:kern w:val="0"/>
      <w:sz w:val="24"/>
      <w:szCs w:val="24"/>
      <w:lang w:eastAsia="en-US" w:bidi="en-US"/>
    </w:rPr>
  </w:style>
  <w:style w:type="paragraph" w:customStyle="1" w:styleId="585">
    <w:name w:val="b"/>
    <w:basedOn w:val="575"/>
    <w:link w:val="586"/>
    <w:qFormat/>
    <w:uiPriority w:val="0"/>
  </w:style>
  <w:style w:type="character" w:customStyle="1" w:styleId="586">
    <w:name w:val="b Char"/>
    <w:basedOn w:val="576"/>
    <w:link w:val="585"/>
    <w:qFormat/>
    <w:uiPriority w:val="0"/>
    <w:rPr>
      <w:rFonts w:ascii="Calibri" w:hAnsi="Calibri" w:eastAsia="宋体" w:cs="Times New Roman"/>
      <w:kern w:val="0"/>
      <w:sz w:val="24"/>
      <w:szCs w:val="24"/>
      <w:lang w:eastAsia="en-US" w:bidi="en-US"/>
    </w:rPr>
  </w:style>
  <w:style w:type="paragraph" w:customStyle="1" w:styleId="587">
    <w:name w:val="A1"/>
    <w:basedOn w:val="34"/>
    <w:link w:val="588"/>
    <w:uiPriority w:val="0"/>
    <w:pPr>
      <w:widowControl/>
      <w:spacing w:line="360" w:lineRule="auto"/>
      <w:ind w:firstLine="561" w:firstLineChars="200"/>
      <w:jc w:val="left"/>
    </w:pPr>
    <w:rPr>
      <w:rFonts w:hAnsi="宋体"/>
      <w:b/>
      <w:kern w:val="0"/>
      <w:sz w:val="28"/>
      <w:szCs w:val="28"/>
      <w:lang w:eastAsia="en-US" w:bidi="en-US"/>
    </w:rPr>
  </w:style>
  <w:style w:type="character" w:customStyle="1" w:styleId="588">
    <w:name w:val="A1 Char"/>
    <w:link w:val="587"/>
    <w:uiPriority w:val="0"/>
    <w:rPr>
      <w:rFonts w:ascii="宋体" w:hAnsi="宋体" w:eastAsia="宋体" w:cs="Times New Roman"/>
      <w:b/>
      <w:kern w:val="0"/>
      <w:sz w:val="28"/>
      <w:szCs w:val="28"/>
      <w:lang w:eastAsia="en-US" w:bidi="en-US"/>
    </w:rPr>
  </w:style>
  <w:style w:type="paragraph" w:customStyle="1" w:styleId="589">
    <w:name w:val="A2"/>
    <w:basedOn w:val="1"/>
    <w:link w:val="590"/>
    <w:uiPriority w:val="0"/>
    <w:pPr>
      <w:widowControl/>
      <w:spacing w:line="360" w:lineRule="auto"/>
      <w:ind w:firstLine="480" w:firstLineChars="200"/>
      <w:jc w:val="left"/>
    </w:pPr>
    <w:rPr>
      <w:rFonts w:ascii="Calibri" w:hAnsi="Calibri" w:eastAsia="宋体" w:cs="Times New Roman"/>
      <w:kern w:val="0"/>
      <w:sz w:val="24"/>
      <w:szCs w:val="24"/>
      <w:lang w:eastAsia="en-US" w:bidi="en-US"/>
    </w:rPr>
  </w:style>
  <w:style w:type="character" w:customStyle="1" w:styleId="590">
    <w:name w:val="A2 Char"/>
    <w:link w:val="589"/>
    <w:qFormat/>
    <w:uiPriority w:val="0"/>
    <w:rPr>
      <w:rFonts w:ascii="Calibri" w:hAnsi="Calibri" w:eastAsia="宋体" w:cs="Times New Roman"/>
      <w:kern w:val="0"/>
      <w:sz w:val="24"/>
      <w:szCs w:val="24"/>
      <w:lang w:eastAsia="en-US" w:bidi="en-US"/>
    </w:rPr>
  </w:style>
  <w:style w:type="paragraph" w:customStyle="1" w:styleId="591">
    <w:name w:val="A3"/>
    <w:basedOn w:val="34"/>
    <w:link w:val="592"/>
    <w:uiPriority w:val="0"/>
    <w:pPr>
      <w:widowControl/>
      <w:spacing w:line="360" w:lineRule="auto"/>
      <w:ind w:firstLine="480" w:firstLineChars="200"/>
      <w:jc w:val="left"/>
    </w:pPr>
    <w:rPr>
      <w:kern w:val="0"/>
      <w:sz w:val="24"/>
      <w:szCs w:val="24"/>
      <w:lang w:eastAsia="en-US" w:bidi="en-US"/>
    </w:rPr>
  </w:style>
  <w:style w:type="character" w:customStyle="1" w:styleId="592">
    <w:name w:val="A3 Char"/>
    <w:link w:val="591"/>
    <w:qFormat/>
    <w:uiPriority w:val="0"/>
    <w:rPr>
      <w:rFonts w:ascii="宋体" w:hAnsi="Courier New" w:eastAsia="宋体" w:cs="Times New Roman"/>
      <w:kern w:val="0"/>
      <w:sz w:val="24"/>
      <w:szCs w:val="24"/>
      <w:lang w:eastAsia="en-US" w:bidi="en-US"/>
    </w:rPr>
  </w:style>
  <w:style w:type="paragraph" w:customStyle="1" w:styleId="593">
    <w:name w:val="a1"/>
    <w:basedOn w:val="34"/>
    <w:link w:val="594"/>
    <w:qFormat/>
    <w:uiPriority w:val="0"/>
    <w:pPr>
      <w:widowControl/>
      <w:spacing w:line="360" w:lineRule="auto"/>
      <w:ind w:firstLine="480" w:firstLineChars="200"/>
      <w:jc w:val="left"/>
    </w:pPr>
    <w:rPr>
      <w:kern w:val="0"/>
      <w:sz w:val="24"/>
      <w:szCs w:val="24"/>
      <w:lang w:eastAsia="en-US" w:bidi="en-US"/>
    </w:rPr>
  </w:style>
  <w:style w:type="character" w:customStyle="1" w:styleId="594">
    <w:name w:val="a1 Char"/>
    <w:link w:val="593"/>
    <w:qFormat/>
    <w:uiPriority w:val="0"/>
    <w:rPr>
      <w:rFonts w:ascii="宋体" w:hAnsi="Courier New" w:eastAsia="宋体" w:cs="Times New Roman"/>
      <w:kern w:val="0"/>
      <w:sz w:val="24"/>
      <w:szCs w:val="24"/>
      <w:lang w:eastAsia="en-US" w:bidi="en-US"/>
    </w:rPr>
  </w:style>
  <w:style w:type="paragraph" w:customStyle="1" w:styleId="595">
    <w:name w:val="a2"/>
    <w:basedOn w:val="1"/>
    <w:link w:val="596"/>
    <w:qFormat/>
    <w:uiPriority w:val="0"/>
    <w:pPr>
      <w:widowControl/>
      <w:spacing w:line="360" w:lineRule="auto"/>
      <w:ind w:firstLine="480" w:firstLineChars="200"/>
      <w:jc w:val="left"/>
    </w:pPr>
    <w:rPr>
      <w:rFonts w:ascii="Calibri" w:hAnsi="Calibri" w:eastAsia="宋体" w:cs="Times New Roman"/>
      <w:kern w:val="0"/>
      <w:sz w:val="24"/>
      <w:szCs w:val="24"/>
      <w:lang w:eastAsia="en-US" w:bidi="en-US"/>
    </w:rPr>
  </w:style>
  <w:style w:type="character" w:customStyle="1" w:styleId="596">
    <w:name w:val="a2 Char"/>
    <w:link w:val="595"/>
    <w:qFormat/>
    <w:uiPriority w:val="0"/>
    <w:rPr>
      <w:rFonts w:ascii="Calibri" w:hAnsi="Calibri" w:eastAsia="宋体" w:cs="Times New Roman"/>
      <w:kern w:val="0"/>
      <w:sz w:val="24"/>
      <w:szCs w:val="24"/>
      <w:lang w:eastAsia="en-US" w:bidi="en-US"/>
    </w:rPr>
  </w:style>
  <w:style w:type="paragraph" w:customStyle="1" w:styleId="597">
    <w:name w:val="00"/>
    <w:basedOn w:val="34"/>
    <w:link w:val="598"/>
    <w:qFormat/>
    <w:uiPriority w:val="0"/>
    <w:pPr>
      <w:widowControl/>
      <w:spacing w:line="360" w:lineRule="auto"/>
      <w:ind w:firstLine="480" w:firstLineChars="200"/>
      <w:jc w:val="left"/>
    </w:pPr>
    <w:rPr>
      <w:rFonts w:ascii="Times New Roman" w:hAnsi="Times New Roman"/>
      <w:kern w:val="0"/>
      <w:sz w:val="24"/>
      <w:szCs w:val="24"/>
      <w:lang w:eastAsia="en-US" w:bidi="en-US"/>
    </w:rPr>
  </w:style>
  <w:style w:type="character" w:customStyle="1" w:styleId="598">
    <w:name w:val="00 Char"/>
    <w:link w:val="597"/>
    <w:qFormat/>
    <w:uiPriority w:val="0"/>
    <w:rPr>
      <w:rFonts w:ascii="Times New Roman" w:hAnsi="Times New Roman" w:eastAsia="宋体" w:cs="Times New Roman"/>
      <w:kern w:val="0"/>
      <w:sz w:val="24"/>
      <w:szCs w:val="24"/>
      <w:lang w:eastAsia="en-US" w:bidi="en-US"/>
    </w:rPr>
  </w:style>
  <w:style w:type="paragraph" w:customStyle="1" w:styleId="599">
    <w:name w:val="一"/>
    <w:basedOn w:val="589"/>
    <w:link w:val="600"/>
    <w:qFormat/>
    <w:uiPriority w:val="0"/>
  </w:style>
  <w:style w:type="character" w:customStyle="1" w:styleId="600">
    <w:name w:val="一 Char"/>
    <w:basedOn w:val="590"/>
    <w:link w:val="599"/>
    <w:qFormat/>
    <w:uiPriority w:val="0"/>
    <w:rPr>
      <w:rFonts w:ascii="Calibri" w:hAnsi="Calibri" w:eastAsia="宋体" w:cs="Times New Roman"/>
      <w:kern w:val="0"/>
      <w:sz w:val="24"/>
      <w:szCs w:val="24"/>
      <w:lang w:eastAsia="en-US" w:bidi="en-US"/>
    </w:rPr>
  </w:style>
  <w:style w:type="paragraph" w:customStyle="1" w:styleId="601">
    <w:name w:val="01"/>
    <w:basedOn w:val="599"/>
    <w:link w:val="602"/>
    <w:qFormat/>
    <w:uiPriority w:val="0"/>
  </w:style>
  <w:style w:type="character" w:customStyle="1" w:styleId="602">
    <w:name w:val="01 Char"/>
    <w:basedOn w:val="600"/>
    <w:link w:val="601"/>
    <w:qFormat/>
    <w:uiPriority w:val="0"/>
    <w:rPr>
      <w:rFonts w:ascii="Calibri" w:hAnsi="Calibri" w:eastAsia="宋体" w:cs="Times New Roman"/>
      <w:kern w:val="0"/>
      <w:sz w:val="24"/>
      <w:szCs w:val="24"/>
      <w:lang w:eastAsia="en-US" w:bidi="en-US"/>
    </w:rPr>
  </w:style>
  <w:style w:type="paragraph" w:customStyle="1" w:styleId="603">
    <w:name w:val="02"/>
    <w:basedOn w:val="591"/>
    <w:link w:val="604"/>
    <w:qFormat/>
    <w:uiPriority w:val="0"/>
  </w:style>
  <w:style w:type="character" w:customStyle="1" w:styleId="604">
    <w:name w:val="02 Char"/>
    <w:basedOn w:val="592"/>
    <w:link w:val="603"/>
    <w:uiPriority w:val="0"/>
    <w:rPr>
      <w:rFonts w:ascii="宋体" w:hAnsi="Courier New" w:eastAsia="宋体" w:cs="Times New Roman"/>
      <w:kern w:val="0"/>
      <w:sz w:val="24"/>
      <w:szCs w:val="24"/>
      <w:lang w:eastAsia="en-US" w:bidi="en-US"/>
    </w:rPr>
  </w:style>
  <w:style w:type="paragraph" w:customStyle="1" w:styleId="605">
    <w:name w:val="03"/>
    <w:basedOn w:val="593"/>
    <w:link w:val="606"/>
    <w:uiPriority w:val="0"/>
  </w:style>
  <w:style w:type="character" w:customStyle="1" w:styleId="606">
    <w:name w:val="03 Char"/>
    <w:basedOn w:val="594"/>
    <w:link w:val="605"/>
    <w:qFormat/>
    <w:uiPriority w:val="0"/>
    <w:rPr>
      <w:rFonts w:ascii="宋体" w:hAnsi="Courier New" w:eastAsia="宋体" w:cs="Times New Roman"/>
      <w:kern w:val="0"/>
      <w:sz w:val="24"/>
      <w:szCs w:val="24"/>
      <w:lang w:eastAsia="en-US" w:bidi="en-US"/>
    </w:rPr>
  </w:style>
  <w:style w:type="paragraph" w:customStyle="1" w:styleId="607">
    <w:name w:val="04"/>
    <w:basedOn w:val="595"/>
    <w:link w:val="608"/>
    <w:qFormat/>
    <w:uiPriority w:val="0"/>
  </w:style>
  <w:style w:type="character" w:customStyle="1" w:styleId="608">
    <w:name w:val="04 Char"/>
    <w:basedOn w:val="596"/>
    <w:link w:val="607"/>
    <w:qFormat/>
    <w:uiPriority w:val="0"/>
    <w:rPr>
      <w:rFonts w:ascii="Calibri" w:hAnsi="Calibri" w:eastAsia="宋体" w:cs="Times New Roman"/>
      <w:kern w:val="0"/>
      <w:sz w:val="24"/>
      <w:szCs w:val="24"/>
      <w:lang w:eastAsia="en-US" w:bidi="en-US"/>
    </w:rPr>
  </w:style>
  <w:style w:type="paragraph" w:customStyle="1" w:styleId="609">
    <w:name w:val="044"/>
    <w:basedOn w:val="607"/>
    <w:link w:val="610"/>
    <w:uiPriority w:val="0"/>
  </w:style>
  <w:style w:type="character" w:customStyle="1" w:styleId="610">
    <w:name w:val="044 Char"/>
    <w:basedOn w:val="608"/>
    <w:link w:val="609"/>
    <w:qFormat/>
    <w:uiPriority w:val="0"/>
    <w:rPr>
      <w:rFonts w:ascii="Calibri" w:hAnsi="Calibri" w:eastAsia="宋体" w:cs="Times New Roman"/>
      <w:kern w:val="0"/>
      <w:sz w:val="24"/>
      <w:szCs w:val="24"/>
      <w:lang w:eastAsia="en-US" w:bidi="en-US"/>
    </w:rPr>
  </w:style>
  <w:style w:type="paragraph" w:customStyle="1" w:styleId="611">
    <w:name w:val="B1"/>
    <w:basedOn w:val="1"/>
    <w:link w:val="612"/>
    <w:uiPriority w:val="0"/>
    <w:pPr>
      <w:widowControl/>
      <w:adjustRightInd w:val="0"/>
      <w:snapToGrid w:val="0"/>
      <w:spacing w:line="500" w:lineRule="exact"/>
      <w:ind w:firstLine="480" w:firstLineChars="200"/>
      <w:jc w:val="left"/>
    </w:pPr>
    <w:rPr>
      <w:rFonts w:ascii="Calibri" w:hAnsi="宋体" w:eastAsia="宋体" w:cs="Times New Roman"/>
      <w:kern w:val="0"/>
      <w:sz w:val="24"/>
      <w:szCs w:val="24"/>
      <w:lang w:eastAsia="en-US" w:bidi="en-US"/>
    </w:rPr>
  </w:style>
  <w:style w:type="character" w:customStyle="1" w:styleId="612">
    <w:name w:val="B1 Char"/>
    <w:link w:val="611"/>
    <w:autoRedefine/>
    <w:qFormat/>
    <w:uiPriority w:val="0"/>
    <w:rPr>
      <w:rFonts w:ascii="Calibri" w:hAnsi="宋体" w:eastAsia="宋体" w:cs="Times New Roman"/>
      <w:kern w:val="0"/>
      <w:sz w:val="24"/>
      <w:szCs w:val="24"/>
      <w:lang w:eastAsia="en-US" w:bidi="en-US"/>
    </w:rPr>
  </w:style>
  <w:style w:type="paragraph" w:customStyle="1" w:styleId="613">
    <w:name w:val="B2"/>
    <w:basedOn w:val="1"/>
    <w:link w:val="614"/>
    <w:qFormat/>
    <w:uiPriority w:val="0"/>
    <w:pPr>
      <w:widowControl/>
      <w:spacing w:line="480" w:lineRule="exact"/>
      <w:ind w:firstLine="470" w:firstLineChars="196"/>
      <w:jc w:val="left"/>
    </w:pPr>
    <w:rPr>
      <w:rFonts w:ascii="Calibri" w:hAnsi="Calibri" w:eastAsia="宋体" w:cs="Times New Roman"/>
      <w:kern w:val="0"/>
      <w:sz w:val="24"/>
      <w:szCs w:val="24"/>
      <w:lang w:eastAsia="en-US" w:bidi="en-US"/>
    </w:rPr>
  </w:style>
  <w:style w:type="character" w:customStyle="1" w:styleId="614">
    <w:name w:val="B2 Char"/>
    <w:link w:val="613"/>
    <w:qFormat/>
    <w:uiPriority w:val="0"/>
    <w:rPr>
      <w:rFonts w:ascii="Calibri" w:hAnsi="Calibri" w:eastAsia="宋体" w:cs="Times New Roman"/>
      <w:kern w:val="0"/>
      <w:sz w:val="24"/>
      <w:szCs w:val="24"/>
      <w:lang w:eastAsia="en-US" w:bidi="en-US"/>
    </w:rPr>
  </w:style>
  <w:style w:type="paragraph" w:customStyle="1" w:styleId="615">
    <w:name w:val="B3"/>
    <w:basedOn w:val="1"/>
    <w:link w:val="616"/>
    <w:qFormat/>
    <w:uiPriority w:val="0"/>
    <w:pPr>
      <w:widowControl/>
      <w:spacing w:line="480" w:lineRule="exact"/>
      <w:ind w:firstLine="470" w:firstLineChars="196"/>
      <w:jc w:val="left"/>
    </w:pPr>
    <w:rPr>
      <w:rFonts w:ascii="Calibri" w:hAnsi="Calibri" w:eastAsia="宋体" w:cs="Times New Roman"/>
      <w:kern w:val="0"/>
      <w:sz w:val="24"/>
      <w:szCs w:val="24"/>
      <w:lang w:eastAsia="en-US" w:bidi="en-US"/>
    </w:rPr>
  </w:style>
  <w:style w:type="character" w:customStyle="1" w:styleId="616">
    <w:name w:val="B3 Char"/>
    <w:link w:val="615"/>
    <w:qFormat/>
    <w:uiPriority w:val="0"/>
    <w:rPr>
      <w:rFonts w:ascii="Calibri" w:hAnsi="Calibri" w:eastAsia="宋体" w:cs="Times New Roman"/>
      <w:kern w:val="0"/>
      <w:sz w:val="24"/>
      <w:szCs w:val="24"/>
      <w:lang w:eastAsia="en-US" w:bidi="en-US"/>
    </w:rPr>
  </w:style>
  <w:style w:type="character" w:customStyle="1" w:styleId="617">
    <w:name w:val="段落 Char Char Char"/>
    <w:link w:val="618"/>
    <w:qFormat/>
    <w:uiPriority w:val="0"/>
    <w:rPr>
      <w:rFonts w:ascii="宋体" w:hAnsi="宋体"/>
      <w:kern w:val="36"/>
      <w:sz w:val="28"/>
    </w:rPr>
  </w:style>
  <w:style w:type="paragraph" w:customStyle="1" w:styleId="618">
    <w:name w:val="段落 Char Char"/>
    <w:basedOn w:val="1"/>
    <w:link w:val="617"/>
    <w:qFormat/>
    <w:uiPriority w:val="0"/>
    <w:pPr>
      <w:widowControl/>
      <w:spacing w:line="500" w:lineRule="exact"/>
      <w:ind w:firstLine="578"/>
      <w:jc w:val="left"/>
    </w:pPr>
    <w:rPr>
      <w:rFonts w:ascii="宋体" w:hAnsi="宋体"/>
      <w:kern w:val="36"/>
      <w:sz w:val="28"/>
    </w:rPr>
  </w:style>
  <w:style w:type="character" w:customStyle="1" w:styleId="619">
    <w:name w:val="样式 标题 3 + 宋体 黑色 Char"/>
    <w:link w:val="620"/>
    <w:uiPriority w:val="0"/>
    <w:rPr>
      <w:rFonts w:ascii="宋体" w:hAnsi="宋体"/>
      <w:b/>
      <w:color w:val="000000"/>
      <w:sz w:val="28"/>
    </w:rPr>
  </w:style>
  <w:style w:type="paragraph" w:customStyle="1" w:styleId="620">
    <w:name w:val="样式 标题 3 + 宋体 黑色"/>
    <w:basedOn w:val="5"/>
    <w:link w:val="619"/>
    <w:qFormat/>
    <w:uiPriority w:val="0"/>
    <w:pPr>
      <w:keepLines w:val="0"/>
      <w:widowControl/>
      <w:spacing w:beforeLines="100" w:after="260" w:line="240" w:lineRule="auto"/>
      <w:jc w:val="left"/>
    </w:pPr>
    <w:rPr>
      <w:rFonts w:ascii="宋体" w:hAnsi="宋体" w:eastAsiaTheme="minorEastAsia" w:cstheme="minorBidi"/>
      <w:bCs/>
      <w:color w:val="000000"/>
      <w:szCs w:val="22"/>
    </w:rPr>
  </w:style>
  <w:style w:type="paragraph" w:styleId="621">
    <w:name w:val="Quote"/>
    <w:basedOn w:val="1"/>
    <w:next w:val="1"/>
    <w:link w:val="622"/>
    <w:uiPriority w:val="0"/>
    <w:pPr>
      <w:widowControl/>
      <w:jc w:val="left"/>
    </w:pPr>
    <w:rPr>
      <w:rFonts w:ascii="Calibri" w:hAnsi="Calibri" w:eastAsia="宋体" w:cs="Times New Roman"/>
      <w:i/>
      <w:kern w:val="0"/>
      <w:sz w:val="24"/>
      <w:szCs w:val="24"/>
      <w:lang w:eastAsia="en-US" w:bidi="en-US"/>
    </w:rPr>
  </w:style>
  <w:style w:type="character" w:customStyle="1" w:styleId="622">
    <w:name w:val="引用 字符"/>
    <w:basedOn w:val="65"/>
    <w:link w:val="621"/>
    <w:qFormat/>
    <w:uiPriority w:val="0"/>
    <w:rPr>
      <w:rFonts w:ascii="Calibri" w:hAnsi="Calibri" w:eastAsia="宋体" w:cs="Times New Roman"/>
      <w:i/>
      <w:kern w:val="0"/>
      <w:sz w:val="24"/>
      <w:szCs w:val="24"/>
      <w:lang w:eastAsia="en-US" w:bidi="en-US"/>
    </w:rPr>
  </w:style>
  <w:style w:type="paragraph" w:styleId="623">
    <w:name w:val="Intense Quote"/>
    <w:basedOn w:val="1"/>
    <w:next w:val="1"/>
    <w:link w:val="624"/>
    <w:qFormat/>
    <w:uiPriority w:val="0"/>
    <w:pPr>
      <w:widowControl/>
      <w:ind w:left="720" w:right="720"/>
      <w:jc w:val="left"/>
    </w:pPr>
    <w:rPr>
      <w:rFonts w:ascii="Calibri" w:hAnsi="Calibri" w:eastAsia="宋体" w:cs="Times New Roman"/>
      <w:b/>
      <w:i/>
      <w:kern w:val="0"/>
      <w:sz w:val="24"/>
      <w:lang w:eastAsia="en-US" w:bidi="en-US"/>
    </w:rPr>
  </w:style>
  <w:style w:type="character" w:customStyle="1" w:styleId="624">
    <w:name w:val="明显引用 字符"/>
    <w:basedOn w:val="65"/>
    <w:link w:val="623"/>
    <w:qFormat/>
    <w:uiPriority w:val="0"/>
    <w:rPr>
      <w:rFonts w:ascii="Calibri" w:hAnsi="Calibri" w:eastAsia="宋体" w:cs="Times New Roman"/>
      <w:b/>
      <w:i/>
      <w:kern w:val="0"/>
      <w:sz w:val="24"/>
      <w:lang w:eastAsia="en-US" w:bidi="en-US"/>
    </w:rPr>
  </w:style>
  <w:style w:type="paragraph" w:customStyle="1" w:styleId="625">
    <w:name w:val="样式12"/>
    <w:basedOn w:val="34"/>
    <w:link w:val="626"/>
    <w:qFormat/>
    <w:uiPriority w:val="0"/>
    <w:pPr>
      <w:adjustRightInd w:val="0"/>
      <w:snapToGrid w:val="0"/>
      <w:spacing w:line="312" w:lineRule="atLeast"/>
      <w:ind w:firstLine="480" w:firstLineChars="200"/>
      <w:textAlignment w:val="baseline"/>
    </w:pPr>
    <w:rPr>
      <w:rFonts w:ascii="Times New Roman" w:hAnsi="Times New Roman"/>
      <w:b/>
      <w:bCs/>
      <w:kern w:val="0"/>
      <w:sz w:val="24"/>
      <w:szCs w:val="24"/>
    </w:rPr>
  </w:style>
  <w:style w:type="character" w:customStyle="1" w:styleId="626">
    <w:name w:val="样式12 Char"/>
    <w:link w:val="625"/>
    <w:qFormat/>
    <w:uiPriority w:val="0"/>
    <w:rPr>
      <w:rFonts w:ascii="Times New Roman" w:hAnsi="Times New Roman" w:eastAsia="宋体" w:cs="Times New Roman"/>
      <w:b/>
      <w:bCs/>
      <w:kern w:val="0"/>
      <w:sz w:val="24"/>
      <w:szCs w:val="24"/>
    </w:rPr>
  </w:style>
  <w:style w:type="character" w:customStyle="1" w:styleId="627">
    <w:name w:val="正文文字 Char Char"/>
    <w:qFormat/>
    <w:uiPriority w:val="0"/>
    <w:rPr>
      <w:rFonts w:eastAsia="宋体"/>
      <w:kern w:val="2"/>
      <w:sz w:val="21"/>
      <w:szCs w:val="24"/>
      <w:lang w:val="en-US" w:eastAsia="zh-CN" w:bidi="ar-SA"/>
    </w:rPr>
  </w:style>
  <w:style w:type="character" w:customStyle="1" w:styleId="628">
    <w:name w:val="Char Char101"/>
    <w:uiPriority w:val="0"/>
    <w:rPr>
      <w:rFonts w:eastAsia="宋体"/>
      <w:b/>
      <w:bCs/>
      <w:kern w:val="2"/>
      <w:sz w:val="28"/>
      <w:szCs w:val="28"/>
      <w:lang w:val="en-US" w:eastAsia="zh-CN" w:bidi="ar-SA"/>
    </w:rPr>
  </w:style>
  <w:style w:type="character" w:customStyle="1" w:styleId="629">
    <w:name w:val="Char Char11"/>
    <w:uiPriority w:val="0"/>
    <w:rPr>
      <w:rFonts w:ascii="宋体" w:hAnsi="宋体" w:eastAsia="宋体"/>
      <w:b/>
      <w:bCs/>
      <w:kern w:val="2"/>
      <w:sz w:val="24"/>
      <w:szCs w:val="24"/>
      <w:lang w:val="en-US" w:eastAsia="zh-CN" w:bidi="ar-SA"/>
    </w:rPr>
  </w:style>
  <w:style w:type="character" w:customStyle="1" w:styleId="630">
    <w:name w:val="Char Char12"/>
    <w:qFormat/>
    <w:uiPriority w:val="0"/>
    <w:rPr>
      <w:rFonts w:eastAsia="宋体"/>
      <w:b/>
      <w:kern w:val="2"/>
      <w:sz w:val="24"/>
      <w:szCs w:val="24"/>
      <w:lang w:val="en-US" w:eastAsia="zh-CN" w:bidi="ar-SA"/>
    </w:rPr>
  </w:style>
  <w:style w:type="character" w:customStyle="1" w:styleId="631">
    <w:name w:val="Footer1 Char1"/>
    <w:qFormat/>
    <w:uiPriority w:val="0"/>
    <w:rPr>
      <w:rFonts w:ascii="宋体" w:eastAsia="宋体"/>
      <w:sz w:val="18"/>
      <w:lang w:val="en-US" w:eastAsia="zh-CN" w:bidi="ar-SA"/>
    </w:rPr>
  </w:style>
  <w:style w:type="character" w:customStyle="1" w:styleId="632">
    <w:name w:val="页眉1 Char1"/>
    <w:qFormat/>
    <w:uiPriority w:val="0"/>
    <w:rPr>
      <w:rFonts w:eastAsia="宋体"/>
      <w:kern w:val="2"/>
      <w:sz w:val="18"/>
      <w:szCs w:val="18"/>
      <w:lang w:val="en-US" w:eastAsia="zh-CN" w:bidi="ar-SA"/>
    </w:rPr>
  </w:style>
  <w:style w:type="character" w:customStyle="1" w:styleId="633">
    <w:name w:val="标题 22 Char"/>
    <w:uiPriority w:val="0"/>
    <w:rPr>
      <w:rFonts w:ascii="Arial" w:hAnsi="Arial" w:eastAsia="楷体_GB2312" w:cs="Arial"/>
      <w:b/>
      <w:color w:val="000000"/>
      <w:kern w:val="2"/>
      <w:sz w:val="24"/>
      <w:szCs w:val="21"/>
      <w:lang w:val="en-US" w:eastAsia="zh-CN" w:bidi="ar-SA"/>
    </w:rPr>
  </w:style>
  <w:style w:type="paragraph" w:customStyle="1" w:styleId="634">
    <w:name w:val="BG1"/>
    <w:basedOn w:val="1"/>
    <w:uiPriority w:val="0"/>
    <w:pPr>
      <w:spacing w:beforeLines="50" w:afterLines="50"/>
      <w:jc w:val="center"/>
    </w:pPr>
    <w:rPr>
      <w:rFonts w:ascii="宋体" w:hAnsi="宋体" w:eastAsia="宋体" w:cs="Times New Roman"/>
      <w:color w:val="000000"/>
      <w:szCs w:val="21"/>
    </w:rPr>
  </w:style>
  <w:style w:type="paragraph" w:customStyle="1" w:styleId="635">
    <w:name w:val="标准"/>
    <w:basedOn w:val="1"/>
    <w:qFormat/>
    <w:uiPriority w:val="0"/>
    <w:pPr>
      <w:adjustRightInd w:val="0"/>
      <w:spacing w:line="480" w:lineRule="exact"/>
      <w:textAlignment w:val="baseline"/>
    </w:pPr>
    <w:rPr>
      <w:rFonts w:ascii="Times New Roman" w:hAnsi="Times New Roman" w:eastAsia="宋体" w:cs="Times New Roman"/>
      <w:kern w:val="0"/>
      <w:sz w:val="28"/>
      <w:szCs w:val="20"/>
      <w:lang w:val="en-GB"/>
    </w:rPr>
  </w:style>
  <w:style w:type="paragraph" w:customStyle="1" w:styleId="636">
    <w:name w:val="样式 标题 3 + (西文) Times New Roman (中文) 宋体 小四 左 段前: 12 磅 段后: 2 ..."/>
    <w:basedOn w:val="5"/>
    <w:link w:val="726"/>
    <w:qFormat/>
    <w:uiPriority w:val="0"/>
    <w:pPr>
      <w:adjustRightInd w:val="0"/>
      <w:spacing w:beforeLines="100" w:line="480" w:lineRule="exact"/>
      <w:jc w:val="left"/>
      <w:textAlignment w:val="baseline"/>
    </w:pPr>
    <w:rPr>
      <w:rFonts w:ascii="宋体" w:eastAsia="宋体"/>
      <w:b w:val="0"/>
      <w:color w:val="000000"/>
      <w:sz w:val="24"/>
    </w:rPr>
  </w:style>
  <w:style w:type="paragraph" w:customStyle="1" w:styleId="637">
    <w:name w:val="样式 标题 2标题2 + (西文) Arial (中文) 黑体 居中 段后: 2 磅"/>
    <w:basedOn w:val="4"/>
    <w:qFormat/>
    <w:uiPriority w:val="0"/>
    <w:pPr>
      <w:widowControl/>
      <w:overflowPunct w:val="0"/>
      <w:adjustRightInd w:val="0"/>
      <w:spacing w:beforeLines="50" w:line="480" w:lineRule="exact"/>
      <w:ind w:left="210" w:leftChars="100" w:firstLine="0" w:firstLineChars="0"/>
      <w:jc w:val="left"/>
      <w:textAlignment w:val="baseline"/>
    </w:pPr>
    <w:rPr>
      <w:rFonts w:ascii="宋体" w:hAnsi="宋体" w:eastAsia="宋体" w:cs="宋体"/>
      <w:spacing w:val="0"/>
      <w:kern w:val="2"/>
      <w:sz w:val="24"/>
      <w:szCs w:val="21"/>
    </w:rPr>
  </w:style>
  <w:style w:type="paragraph" w:customStyle="1" w:styleId="638">
    <w:name w:val="正文文本缩进1"/>
    <w:basedOn w:val="1"/>
    <w:qFormat/>
    <w:uiPriority w:val="0"/>
    <w:pPr>
      <w:spacing w:line="360" w:lineRule="auto"/>
      <w:ind w:firstLine="600" w:firstLineChars="200"/>
    </w:pPr>
    <w:rPr>
      <w:rFonts w:ascii="楷体_GB2312" w:hAnsi="Times New Roman" w:eastAsia="楷体_GB2312" w:cs="楷体_GB2312"/>
      <w:sz w:val="30"/>
      <w:szCs w:val="30"/>
    </w:rPr>
  </w:style>
  <w:style w:type="paragraph" w:customStyle="1" w:styleId="639">
    <w:name w:val="重点2"/>
    <w:basedOn w:val="1"/>
    <w:qFormat/>
    <w:uiPriority w:val="0"/>
    <w:pPr>
      <w:tabs>
        <w:tab w:val="left" w:pos="902"/>
      </w:tabs>
      <w:adjustRightInd w:val="0"/>
      <w:snapToGrid w:val="0"/>
      <w:spacing w:beforeLines="50" w:afterLines="50"/>
      <w:ind w:left="902" w:hanging="420"/>
    </w:pPr>
    <w:rPr>
      <w:rFonts w:ascii="Arial Unicode MS" w:hAnsi="Arial Unicode MS" w:eastAsia="Arial Unicode MS" w:cs="Times New Roman"/>
      <w:b/>
      <w:sz w:val="24"/>
      <w:szCs w:val="24"/>
    </w:rPr>
  </w:style>
  <w:style w:type="paragraph" w:customStyle="1" w:styleId="640">
    <w:name w:val="表格文字居中 Char"/>
    <w:basedOn w:val="60"/>
    <w:uiPriority w:val="0"/>
    <w:pPr>
      <w:adjustRightInd w:val="0"/>
      <w:snapToGrid w:val="0"/>
      <w:spacing w:after="0" w:line="300" w:lineRule="auto"/>
      <w:ind w:firstLine="0" w:firstLineChars="0"/>
      <w:jc w:val="center"/>
    </w:pPr>
    <w:rPr>
      <w:rFonts w:ascii="宋体"/>
      <w:bCs/>
      <w:color w:val="000000"/>
      <w:kern w:val="0"/>
      <w:sz w:val="24"/>
      <w:szCs w:val="20"/>
    </w:rPr>
  </w:style>
  <w:style w:type="paragraph" w:customStyle="1" w:styleId="641">
    <w:name w:val="中文表内容1"/>
    <w:basedOn w:val="1"/>
    <w:next w:val="1"/>
    <w:qFormat/>
    <w:uiPriority w:val="0"/>
    <w:pPr>
      <w:spacing w:line="440" w:lineRule="exact"/>
      <w:jc w:val="center"/>
    </w:pPr>
    <w:rPr>
      <w:rFonts w:ascii="Times New Roman" w:hAnsi="Times New Roman" w:eastAsia="楷体_GB2312" w:cs="Times New Roman"/>
      <w:sz w:val="28"/>
      <w:szCs w:val="20"/>
    </w:rPr>
  </w:style>
  <w:style w:type="character" w:customStyle="1" w:styleId="642">
    <w:name w:val="表格文字 Char"/>
    <w:qFormat/>
    <w:uiPriority w:val="0"/>
    <w:rPr>
      <w:rFonts w:ascii="宋体" w:hAnsi="Courier New" w:eastAsia="宋体"/>
      <w:sz w:val="21"/>
      <w:lang w:val="en-US" w:eastAsia="zh-CN" w:bidi="ar-SA"/>
    </w:rPr>
  </w:style>
  <w:style w:type="paragraph" w:customStyle="1" w:styleId="643">
    <w:name w:val="正文首行不缩进"/>
    <w:basedOn w:val="1"/>
    <w:qFormat/>
    <w:uiPriority w:val="0"/>
    <w:pPr>
      <w:spacing w:line="20" w:lineRule="exact"/>
    </w:pPr>
    <w:rPr>
      <w:rFonts w:ascii="Arial" w:hAnsi="Arial" w:eastAsia="宋体" w:cs="Arial"/>
      <w:sz w:val="24"/>
      <w:szCs w:val="24"/>
    </w:rPr>
  </w:style>
  <w:style w:type="paragraph" w:customStyle="1" w:styleId="644">
    <w:name w:val="封面项目名称"/>
    <w:basedOn w:val="1"/>
    <w:qFormat/>
    <w:uiPriority w:val="0"/>
    <w:pPr>
      <w:spacing w:line="300" w:lineRule="auto"/>
      <w:jc w:val="center"/>
    </w:pPr>
    <w:rPr>
      <w:rFonts w:ascii="Times New Roman" w:hAnsi="Times New Roman" w:eastAsia="仿宋_GB2312" w:cs="Times New Roman"/>
      <w:b/>
      <w:sz w:val="44"/>
      <w:szCs w:val="24"/>
    </w:rPr>
  </w:style>
  <w:style w:type="paragraph" w:customStyle="1" w:styleId="645">
    <w:name w:val="样式 标题 1 + 小四 非加粗 段前: 6 磅 段后: 6 磅 行距: 最小值 4 磅"/>
    <w:basedOn w:val="2"/>
    <w:qFormat/>
    <w:uiPriority w:val="0"/>
    <w:pPr>
      <w:widowControl w:val="0"/>
      <w:tabs>
        <w:tab w:val="left" w:pos="1200"/>
      </w:tabs>
      <w:spacing w:after="120" w:line="80" w:lineRule="atLeast"/>
      <w:ind w:left="1200" w:hanging="360"/>
    </w:pPr>
    <w:rPr>
      <w:rFonts w:ascii="Arial Narrow" w:hAnsi="Arial Narrow" w:eastAsia="仿宋_GB2312"/>
      <w:bCs/>
      <w:kern w:val="2"/>
      <w:sz w:val="24"/>
      <w:szCs w:val="20"/>
    </w:rPr>
  </w:style>
  <w:style w:type="paragraph" w:customStyle="1" w:styleId="646">
    <w:name w:val="表格文字左对齐"/>
    <w:basedOn w:val="1"/>
    <w:next w:val="1"/>
    <w:qFormat/>
    <w:uiPriority w:val="0"/>
    <w:pPr>
      <w:adjustRightInd w:val="0"/>
      <w:snapToGrid w:val="0"/>
    </w:pPr>
    <w:rPr>
      <w:rFonts w:ascii="Arial" w:hAnsi="Arial" w:eastAsia="仿宋_GB2312" w:cs="Arial"/>
      <w:color w:val="000000"/>
      <w:spacing w:val="-20"/>
      <w:kern w:val="0"/>
      <w:szCs w:val="20"/>
    </w:rPr>
  </w:style>
  <w:style w:type="paragraph" w:customStyle="1" w:styleId="647">
    <w:name w:val="样式 标题 1 + 小四 段前: 7.8 磅 段后: 7.8 磅 行距: 多倍行距 1.25 字行"/>
    <w:basedOn w:val="2"/>
    <w:qFormat/>
    <w:uiPriority w:val="0"/>
    <w:pPr>
      <w:widowControl w:val="0"/>
      <w:tabs>
        <w:tab w:val="left" w:pos="1200"/>
      </w:tabs>
      <w:spacing w:after="120" w:line="300" w:lineRule="auto"/>
      <w:ind w:left="1200" w:hanging="360"/>
    </w:pPr>
    <w:rPr>
      <w:rFonts w:ascii="Arial Narrow" w:hAnsi="Arial Narrow" w:eastAsia="仿宋_GB2312"/>
      <w:b w:val="0"/>
      <w:kern w:val="2"/>
      <w:sz w:val="24"/>
      <w:szCs w:val="20"/>
    </w:rPr>
  </w:style>
  <w:style w:type="paragraph" w:customStyle="1" w:styleId="648">
    <w:name w:val="表格文字缩进"/>
    <w:basedOn w:val="1"/>
    <w:next w:val="1"/>
    <w:qFormat/>
    <w:uiPriority w:val="0"/>
    <w:pPr>
      <w:spacing w:line="300" w:lineRule="auto"/>
      <w:ind w:firstLine="420" w:firstLineChars="200"/>
      <w:jc w:val="center"/>
    </w:pPr>
    <w:rPr>
      <w:rFonts w:ascii="Times New Roman" w:hAnsi="Times New Roman" w:eastAsia="宋体" w:cs="Times New Roman"/>
      <w:szCs w:val="24"/>
    </w:rPr>
  </w:style>
  <w:style w:type="paragraph" w:customStyle="1" w:styleId="649">
    <w:name w:val="表内字"/>
    <w:qFormat/>
    <w:uiPriority w:val="0"/>
    <w:pPr>
      <w:widowControl w:val="0"/>
      <w:adjustRightInd w:val="0"/>
      <w:snapToGrid w:val="0"/>
      <w:jc w:val="center"/>
    </w:pPr>
    <w:rPr>
      <w:rFonts w:ascii="宋体" w:hAnsi="宋体" w:eastAsia="宋体" w:cs="Times New Roman"/>
      <w:color w:val="000000"/>
      <w:sz w:val="21"/>
      <w:lang w:val="en-US" w:eastAsia="zh-CN" w:bidi="ar-SA"/>
    </w:rPr>
  </w:style>
  <w:style w:type="paragraph" w:customStyle="1" w:styleId="650">
    <w:name w:val="spalten"/>
    <w:basedOn w:val="1"/>
    <w:qFormat/>
    <w:uiPriority w:val="0"/>
    <w:pPr>
      <w:widowControl/>
      <w:tabs>
        <w:tab w:val="left" w:pos="5670"/>
        <w:tab w:val="left" w:pos="7371"/>
      </w:tabs>
      <w:spacing w:after="240" w:line="300" w:lineRule="auto"/>
      <w:ind w:left="3969" w:hanging="2835"/>
      <w:jc w:val="left"/>
    </w:pPr>
    <w:rPr>
      <w:rFonts w:ascii="Arial" w:hAnsi="Arial" w:eastAsia="Times New Roman" w:cs="Times New Roman"/>
      <w:kern w:val="0"/>
      <w:sz w:val="22"/>
      <w:szCs w:val="20"/>
      <w:lang w:val="de-DE"/>
    </w:rPr>
  </w:style>
  <w:style w:type="paragraph" w:customStyle="1" w:styleId="651">
    <w:name w:val="目录1"/>
    <w:basedOn w:val="1"/>
    <w:qFormat/>
    <w:uiPriority w:val="0"/>
    <w:pPr>
      <w:spacing w:line="300" w:lineRule="auto"/>
      <w:ind w:left="50" w:leftChars="50"/>
    </w:pPr>
    <w:rPr>
      <w:rFonts w:ascii="Arial Narrow" w:hAnsi="Arial Narrow" w:eastAsia="仿宋_GB2312" w:cs="Times New Roman"/>
      <w:b/>
      <w:sz w:val="24"/>
      <w:szCs w:val="24"/>
    </w:rPr>
  </w:style>
  <w:style w:type="paragraph" w:customStyle="1" w:styleId="652">
    <w:name w:val="样式 五号 行距: 单倍行距 首行缩进:  0.5 字符"/>
    <w:basedOn w:val="1"/>
    <w:qFormat/>
    <w:uiPriority w:val="0"/>
    <w:pPr>
      <w:ind w:right="147" w:rightChars="147" w:firstLine="50" w:firstLineChars="50"/>
      <w:jc w:val="right"/>
    </w:pPr>
    <w:rPr>
      <w:rFonts w:ascii="Arial Narrow" w:hAnsi="Arial Narrow" w:eastAsia="仿宋_GB2312" w:cs="Times New Roman"/>
      <w:szCs w:val="21"/>
    </w:rPr>
  </w:style>
  <w:style w:type="paragraph" w:customStyle="1" w:styleId="653">
    <w:name w:val="样式 样式 五号 行距: 单倍行距 首行缩进:  0.5 字符 + 首行缩进:  0.5 字符 右侧:  1.47 字符"/>
    <w:basedOn w:val="652"/>
    <w:qFormat/>
    <w:uiPriority w:val="0"/>
    <w:pPr>
      <w:ind w:right="353" w:firstLine="105"/>
      <w:jc w:val="left"/>
    </w:pPr>
    <w:rPr>
      <w:szCs w:val="20"/>
    </w:rPr>
  </w:style>
  <w:style w:type="paragraph" w:customStyle="1" w:styleId="654">
    <w:name w:val="表格文字两端对齐"/>
    <w:basedOn w:val="648"/>
    <w:qFormat/>
    <w:uiPriority w:val="0"/>
    <w:pPr>
      <w:ind w:firstLine="0" w:firstLineChars="0"/>
    </w:pPr>
    <w:rPr>
      <w:rFonts w:ascii="Arial Narrow" w:hAnsi="Arial Narrow" w:eastAsia="仿宋_GB2312"/>
    </w:rPr>
  </w:style>
  <w:style w:type="paragraph" w:customStyle="1" w:styleId="655">
    <w:name w:val="封面分册"/>
    <w:basedOn w:val="644"/>
    <w:next w:val="644"/>
    <w:qFormat/>
    <w:uiPriority w:val="0"/>
    <w:rPr>
      <w:sz w:val="32"/>
    </w:rPr>
  </w:style>
  <w:style w:type="paragraph" w:customStyle="1" w:styleId="656">
    <w:name w:val="封面首行"/>
    <w:basedOn w:val="1"/>
    <w:next w:val="644"/>
    <w:qFormat/>
    <w:uiPriority w:val="0"/>
    <w:pPr>
      <w:spacing w:line="300" w:lineRule="auto"/>
    </w:pPr>
    <w:rPr>
      <w:rFonts w:ascii="Times New Roman" w:hAnsi="Times New Roman" w:eastAsia="仿宋_GB2312" w:cs="Times New Roman"/>
      <w:b/>
      <w:sz w:val="24"/>
      <w:szCs w:val="24"/>
    </w:rPr>
  </w:style>
  <w:style w:type="paragraph" w:customStyle="1" w:styleId="657">
    <w:name w:val="表标题"/>
    <w:uiPriority w:val="0"/>
    <w:pPr>
      <w:spacing w:beforeLines="100" w:line="300" w:lineRule="auto"/>
      <w:jc w:val="center"/>
    </w:pPr>
    <w:rPr>
      <w:rFonts w:ascii="Arial Narrow" w:hAnsi="Arial Narrow" w:eastAsia="仿宋_GB2312" w:cs="Times New Roman"/>
      <w:b/>
      <w:bCs/>
      <w:spacing w:val="-4"/>
      <w:sz w:val="24"/>
      <w:szCs w:val="24"/>
      <w:lang w:val="en-US" w:eastAsia="zh-CN" w:bidi="ar-SA"/>
    </w:rPr>
  </w:style>
  <w:style w:type="paragraph" w:customStyle="1" w:styleId="658">
    <w:name w:val="表字"/>
    <w:basedOn w:val="1"/>
    <w:qFormat/>
    <w:uiPriority w:val="0"/>
    <w:pPr>
      <w:spacing w:line="300" w:lineRule="auto"/>
      <w:jc w:val="center"/>
    </w:pPr>
    <w:rPr>
      <w:rFonts w:ascii="宋体" w:hAnsi="Times New Roman" w:eastAsia="宋体" w:cs="Times New Roman"/>
      <w:szCs w:val="20"/>
    </w:rPr>
  </w:style>
  <w:style w:type="paragraph" w:customStyle="1" w:styleId="659">
    <w:name w:val="表中字"/>
    <w:qFormat/>
    <w:uiPriority w:val="0"/>
    <w:pPr>
      <w:widowControl w:val="0"/>
      <w:adjustRightInd w:val="0"/>
      <w:snapToGrid w:val="0"/>
      <w:jc w:val="center"/>
    </w:pPr>
    <w:rPr>
      <w:rFonts w:ascii="Times New Roman" w:hAnsi="Times New Roman" w:eastAsia="宋体" w:cs="Times New Roman"/>
      <w:w w:val="90"/>
      <w:sz w:val="21"/>
      <w:lang w:val="en-US" w:eastAsia="zh-CN" w:bidi="ar-SA"/>
    </w:rPr>
  </w:style>
  <w:style w:type="paragraph" w:customStyle="1" w:styleId="660">
    <w:name w:val="样式 样式 样式 五号 行距: 单倍行距 首行缩进:  0.5 字符 + 首行缩进:  0.5 字符 右侧:  1.47 字符 ..."/>
    <w:basedOn w:val="653"/>
    <w:uiPriority w:val="0"/>
    <w:pPr>
      <w:jc w:val="both"/>
    </w:pPr>
  </w:style>
  <w:style w:type="paragraph" w:customStyle="1" w:styleId="661">
    <w:name w:val="目录2"/>
    <w:basedOn w:val="4"/>
    <w:uiPriority w:val="0"/>
    <w:pPr>
      <w:tabs>
        <w:tab w:val="left" w:pos="1200"/>
      </w:tabs>
      <w:adjustRightInd w:val="0"/>
      <w:spacing w:beforeLines="50" w:line="300" w:lineRule="auto"/>
      <w:ind w:left="340" w:leftChars="100" w:hanging="340" w:firstLineChars="0"/>
      <w:jc w:val="left"/>
    </w:pPr>
    <w:rPr>
      <w:rFonts w:ascii="Arial Narrow" w:hAnsi="Arial Narrow"/>
      <w:b w:val="0"/>
      <w:bCs/>
      <w:spacing w:val="0"/>
      <w:kern w:val="2"/>
    </w:rPr>
  </w:style>
  <w:style w:type="paragraph" w:customStyle="1" w:styleId="662">
    <w:name w:val="项目名称"/>
    <w:basedOn w:val="1"/>
    <w:next w:val="1"/>
    <w:autoRedefine/>
    <w:qFormat/>
    <w:uiPriority w:val="0"/>
    <w:pPr>
      <w:spacing w:line="800" w:lineRule="atLeast"/>
      <w:jc w:val="center"/>
      <w:outlineLvl w:val="0"/>
    </w:pPr>
    <w:rPr>
      <w:rFonts w:ascii="黑体" w:hAnsi="Times New Roman" w:eastAsia="黑体" w:cs="Times New Roman"/>
      <w:sz w:val="52"/>
      <w:szCs w:val="52"/>
    </w:rPr>
  </w:style>
  <w:style w:type="paragraph" w:customStyle="1" w:styleId="663">
    <w:name w:val="文件名称"/>
    <w:basedOn w:val="1"/>
    <w:next w:val="1"/>
    <w:autoRedefine/>
    <w:qFormat/>
    <w:uiPriority w:val="0"/>
    <w:pPr>
      <w:spacing w:beforeLines="100" w:line="360" w:lineRule="auto"/>
      <w:jc w:val="center"/>
    </w:pPr>
    <w:rPr>
      <w:rFonts w:ascii="黑体" w:hAnsi="Times New Roman" w:eastAsia="黑体" w:cs="Times New Roman"/>
      <w:sz w:val="84"/>
      <w:szCs w:val="84"/>
    </w:rPr>
  </w:style>
  <w:style w:type="paragraph" w:customStyle="1" w:styleId="664">
    <w:name w:val="单位名称"/>
    <w:basedOn w:val="1"/>
    <w:next w:val="1"/>
    <w:qFormat/>
    <w:uiPriority w:val="0"/>
    <w:pPr>
      <w:spacing w:line="360" w:lineRule="auto"/>
      <w:jc w:val="center"/>
    </w:pPr>
    <w:rPr>
      <w:rFonts w:ascii="Times New Roman" w:hAnsi="Times New Roman" w:eastAsia="宋体" w:cs="Times New Roman"/>
      <w:sz w:val="44"/>
      <w:szCs w:val="44"/>
    </w:rPr>
  </w:style>
  <w:style w:type="paragraph" w:customStyle="1" w:styleId="665">
    <w:name w:val="文件册号"/>
    <w:basedOn w:val="1"/>
    <w:next w:val="1"/>
    <w:qFormat/>
    <w:uiPriority w:val="0"/>
    <w:pPr>
      <w:spacing w:line="800" w:lineRule="atLeast"/>
      <w:jc w:val="center"/>
    </w:pPr>
    <w:rPr>
      <w:rFonts w:ascii="Times New Roman" w:hAnsi="Times New Roman" w:eastAsia="宋体" w:cs="Times New Roman"/>
      <w:sz w:val="52"/>
      <w:szCs w:val="52"/>
    </w:rPr>
  </w:style>
  <w:style w:type="paragraph" w:customStyle="1" w:styleId="666">
    <w:name w:val="文件编号"/>
    <w:basedOn w:val="1"/>
    <w:next w:val="1"/>
    <w:qFormat/>
    <w:uiPriority w:val="0"/>
    <w:pPr>
      <w:spacing w:line="360" w:lineRule="auto"/>
      <w:jc w:val="center"/>
    </w:pPr>
    <w:rPr>
      <w:rFonts w:ascii="黑体" w:hAnsi="Times New Roman" w:eastAsia="黑体" w:cs="Times New Roman"/>
      <w:sz w:val="44"/>
      <w:szCs w:val="44"/>
    </w:rPr>
  </w:style>
  <w:style w:type="paragraph" w:customStyle="1" w:styleId="667">
    <w:name w:val="主要负责人"/>
    <w:basedOn w:val="1"/>
    <w:next w:val="1"/>
    <w:uiPriority w:val="0"/>
    <w:pPr>
      <w:spacing w:line="360" w:lineRule="auto"/>
      <w:jc w:val="center"/>
    </w:pPr>
    <w:rPr>
      <w:rFonts w:ascii="Times New Roman" w:hAnsi="Times New Roman" w:eastAsia="宋体" w:cs="Times New Roman"/>
      <w:sz w:val="36"/>
      <w:szCs w:val="36"/>
    </w:rPr>
  </w:style>
  <w:style w:type="paragraph" w:customStyle="1" w:styleId="668">
    <w:name w:val="参加人员名单"/>
    <w:basedOn w:val="1"/>
    <w:next w:val="1"/>
    <w:uiPriority w:val="0"/>
    <w:pPr>
      <w:spacing w:line="360" w:lineRule="auto"/>
      <w:jc w:val="center"/>
      <w:outlineLvl w:val="0"/>
    </w:pPr>
    <w:rPr>
      <w:rFonts w:ascii="Times New Roman" w:hAnsi="Times New Roman" w:eastAsia="宋体" w:cs="Times New Roman"/>
      <w:sz w:val="32"/>
      <w:szCs w:val="32"/>
    </w:rPr>
  </w:style>
  <w:style w:type="paragraph" w:customStyle="1" w:styleId="669">
    <w:name w:val="参加人员"/>
    <w:basedOn w:val="1"/>
    <w:uiPriority w:val="0"/>
    <w:pPr>
      <w:spacing w:line="360" w:lineRule="auto"/>
    </w:pPr>
    <w:rPr>
      <w:rFonts w:ascii="Times New Roman" w:hAnsi="Times New Roman" w:eastAsia="宋体" w:cs="Times New Roman"/>
      <w:sz w:val="24"/>
      <w:szCs w:val="24"/>
    </w:rPr>
  </w:style>
  <w:style w:type="paragraph" w:customStyle="1" w:styleId="670">
    <w:name w:val="样式 标题 3 + 黑色 行距: 最小值 25 磅"/>
    <w:basedOn w:val="5"/>
    <w:qFormat/>
    <w:uiPriority w:val="0"/>
    <w:pPr>
      <w:keepLines w:val="0"/>
      <w:tabs>
        <w:tab w:val="left" w:pos="720"/>
      </w:tabs>
      <w:spacing w:beforeLines="100" w:line="500" w:lineRule="atLeast"/>
      <w:ind w:left="720" w:hanging="720"/>
      <w:jc w:val="left"/>
    </w:pPr>
    <w:rPr>
      <w:bCs/>
    </w:rPr>
  </w:style>
  <w:style w:type="paragraph" w:customStyle="1" w:styleId="671">
    <w:name w:val="样式 行距: 最小值 25 磅"/>
    <w:basedOn w:val="1"/>
    <w:uiPriority w:val="0"/>
    <w:pPr>
      <w:tabs>
        <w:tab w:val="left" w:pos="927"/>
      </w:tabs>
      <w:spacing w:line="500" w:lineRule="atLeast"/>
      <w:ind w:firstLine="567"/>
    </w:pPr>
    <w:rPr>
      <w:rFonts w:ascii="Times New Roman" w:hAnsi="Times New Roman" w:eastAsia="宋体" w:cs="Times New Roman"/>
      <w:sz w:val="28"/>
      <w:szCs w:val="20"/>
    </w:rPr>
  </w:style>
  <w:style w:type="paragraph" w:customStyle="1" w:styleId="672">
    <w:name w:val="7"/>
    <w:basedOn w:val="1"/>
    <w:next w:val="5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customStyle="1" w:styleId="673">
    <w:name w:val="小标题 2"/>
    <w:basedOn w:val="1"/>
    <w:qFormat/>
    <w:uiPriority w:val="0"/>
    <w:pPr>
      <w:autoSpaceDE w:val="0"/>
      <w:autoSpaceDN w:val="0"/>
      <w:adjustRightInd w:val="0"/>
    </w:pPr>
    <w:rPr>
      <w:rFonts w:ascii="宋体" w:hAnsi="Times New Roman" w:eastAsia="宋体" w:cs="Times New Roman"/>
      <w:kern w:val="0"/>
      <w:sz w:val="24"/>
      <w:szCs w:val="20"/>
    </w:rPr>
  </w:style>
  <w:style w:type="paragraph" w:customStyle="1" w:styleId="674">
    <w:name w:val="6"/>
    <w:basedOn w:val="1"/>
    <w:next w:val="26"/>
    <w:qFormat/>
    <w:uiPriority w:val="0"/>
    <w:pPr>
      <w:ind w:firstLine="680"/>
    </w:pPr>
    <w:rPr>
      <w:rFonts w:ascii="楷体_GB2312" w:hAnsi="Times New Roman" w:eastAsia="楷体_GB2312" w:cs="Times New Roman"/>
      <w:sz w:val="30"/>
      <w:szCs w:val="24"/>
    </w:rPr>
  </w:style>
  <w:style w:type="character" w:customStyle="1" w:styleId="675">
    <w:name w:val="4 Char"/>
    <w:link w:val="193"/>
    <w:qFormat/>
    <w:uiPriority w:val="0"/>
    <w:rPr>
      <w:rFonts w:ascii="Arial" w:hAnsi="Arial" w:eastAsia="楷体_GB2312" w:cs="Arial"/>
      <w:bCs/>
      <w:kern w:val="0"/>
      <w:sz w:val="30"/>
      <w:szCs w:val="30"/>
    </w:rPr>
  </w:style>
  <w:style w:type="character" w:customStyle="1" w:styleId="676">
    <w:name w:val="2 Char"/>
    <w:link w:val="192"/>
    <w:qFormat/>
    <w:uiPriority w:val="0"/>
    <w:rPr>
      <w:rFonts w:ascii="Arial" w:hAnsi="楷体_GB2312" w:eastAsia="楷体_GB2312" w:cs="Arial"/>
      <w:b/>
      <w:kern w:val="44"/>
      <w:sz w:val="30"/>
      <w:szCs w:val="44"/>
    </w:rPr>
  </w:style>
  <w:style w:type="paragraph" w:customStyle="1" w:styleId="677">
    <w:name w:val="正文 + 宋体"/>
    <w:basedOn w:val="1"/>
    <w:qFormat/>
    <w:uiPriority w:val="0"/>
    <w:rPr>
      <w:rFonts w:ascii="宋体" w:hAnsi="宋体" w:eastAsia="宋体" w:cs="Times New Roman"/>
      <w:sz w:val="28"/>
      <w:szCs w:val="28"/>
    </w:rPr>
  </w:style>
  <w:style w:type="paragraph" w:customStyle="1" w:styleId="678">
    <w:name w:val="??"/>
    <w:uiPriority w:val="0"/>
    <w:pPr>
      <w:widowControl w:val="0"/>
      <w:autoSpaceDE w:val="0"/>
      <w:autoSpaceDN w:val="0"/>
      <w:adjustRightInd w:val="0"/>
      <w:spacing w:line="360" w:lineRule="atLeast"/>
      <w:textAlignment w:val="baseline"/>
    </w:pPr>
    <w:rPr>
      <w:rFonts w:ascii="Times New Roman" w:hAnsi="Times New Roman" w:eastAsia="宋体" w:cs="Times New Roman"/>
      <w:sz w:val="24"/>
      <w:lang w:val="en-US" w:eastAsia="zh-CN" w:bidi="ar-SA"/>
    </w:rPr>
  </w:style>
  <w:style w:type="paragraph" w:customStyle="1" w:styleId="679">
    <w:name w:val="样式 行距: 固定值 24 磅"/>
    <w:basedOn w:val="1"/>
    <w:qFormat/>
    <w:uiPriority w:val="0"/>
    <w:pPr>
      <w:tabs>
        <w:tab w:val="left" w:pos="400"/>
      </w:tabs>
      <w:spacing w:line="480" w:lineRule="exact"/>
    </w:pPr>
    <w:rPr>
      <w:rFonts w:ascii="Times New Roman" w:hAnsi="Times New Roman" w:eastAsia="宋体" w:cs="Times New Roman"/>
      <w:szCs w:val="20"/>
    </w:rPr>
  </w:style>
  <w:style w:type="paragraph" w:customStyle="1" w:styleId="680">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681">
    <w:name w:val="段"/>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2">
    <w:name w:val="一级条标题"/>
    <w:next w:val="681"/>
    <w:uiPriority w:val="0"/>
    <w:pPr>
      <w:outlineLvl w:val="2"/>
    </w:pPr>
    <w:rPr>
      <w:rFonts w:ascii="Times New Roman" w:hAnsi="Times New Roman" w:eastAsia="黑体" w:cs="Times New Roman"/>
      <w:sz w:val="21"/>
      <w:lang w:val="en-US" w:eastAsia="zh-CN" w:bidi="ar-SA"/>
    </w:rPr>
  </w:style>
  <w:style w:type="paragraph" w:customStyle="1" w:styleId="683">
    <w:name w:val="二级条标题"/>
    <w:basedOn w:val="682"/>
    <w:next w:val="681"/>
    <w:qFormat/>
    <w:uiPriority w:val="0"/>
    <w:pPr>
      <w:outlineLvl w:val="3"/>
    </w:pPr>
  </w:style>
  <w:style w:type="paragraph" w:customStyle="1" w:styleId="684">
    <w:name w:val="三级条标题"/>
    <w:basedOn w:val="683"/>
    <w:next w:val="681"/>
    <w:qFormat/>
    <w:uiPriority w:val="0"/>
    <w:pPr>
      <w:outlineLvl w:val="4"/>
    </w:pPr>
  </w:style>
  <w:style w:type="paragraph" w:customStyle="1" w:styleId="685">
    <w:name w:val="四级条标题"/>
    <w:basedOn w:val="684"/>
    <w:next w:val="681"/>
    <w:uiPriority w:val="0"/>
    <w:pPr>
      <w:outlineLvl w:val="5"/>
    </w:pPr>
  </w:style>
  <w:style w:type="paragraph" w:customStyle="1" w:styleId="686">
    <w:name w:val="五级条标题"/>
    <w:basedOn w:val="685"/>
    <w:next w:val="681"/>
    <w:qFormat/>
    <w:uiPriority w:val="0"/>
    <w:pPr>
      <w:outlineLvl w:val="6"/>
    </w:pPr>
  </w:style>
  <w:style w:type="paragraph" w:customStyle="1" w:styleId="687">
    <w:name w:val="正文表标题"/>
    <w:next w:val="681"/>
    <w:qFormat/>
    <w:uiPriority w:val="0"/>
    <w:pPr>
      <w:jc w:val="center"/>
    </w:pPr>
    <w:rPr>
      <w:rFonts w:ascii="黑体" w:hAnsi="Times New Roman" w:eastAsia="黑体" w:cs="Times New Roman"/>
      <w:sz w:val="21"/>
      <w:lang w:val="en-US" w:eastAsia="zh-CN" w:bidi="ar-SA"/>
    </w:rPr>
  </w:style>
  <w:style w:type="paragraph" w:customStyle="1" w:styleId="688">
    <w:name w:val="样式 正文缩进1 + 行距: 固定值 24 磅"/>
    <w:basedOn w:val="1"/>
    <w:qFormat/>
    <w:uiPriority w:val="0"/>
    <w:pPr>
      <w:widowControl/>
      <w:snapToGrid w:val="0"/>
      <w:spacing w:line="480" w:lineRule="exact"/>
      <w:ind w:firstLine="200" w:firstLineChars="200"/>
    </w:pPr>
    <w:rPr>
      <w:rFonts w:ascii="宋体" w:hAnsi="Times New Roman" w:eastAsia="宋体" w:cs="宋体"/>
      <w:spacing w:val="6"/>
      <w:kern w:val="24"/>
      <w:sz w:val="24"/>
      <w:szCs w:val="20"/>
    </w:rPr>
  </w:style>
  <w:style w:type="paragraph" w:customStyle="1" w:styleId="689">
    <w:name w:val="Normal Text"/>
    <w:basedOn w:val="1"/>
    <w:uiPriority w:val="0"/>
    <w:pPr>
      <w:widowControl/>
      <w:overflowPunct w:val="0"/>
      <w:autoSpaceDE w:val="0"/>
      <w:autoSpaceDN w:val="0"/>
      <w:adjustRightInd w:val="0"/>
      <w:spacing w:line="264" w:lineRule="auto"/>
      <w:ind w:left="720"/>
      <w:jc w:val="left"/>
      <w:textAlignment w:val="baseline"/>
    </w:pPr>
    <w:rPr>
      <w:rFonts w:ascii="Times New Roman" w:hAnsi="Times New Roman" w:eastAsia="宋体" w:cs="Times New Roman"/>
      <w:kern w:val="0"/>
      <w:sz w:val="24"/>
      <w:szCs w:val="20"/>
      <w:lang w:val="en-GB" w:eastAsia="en-US"/>
    </w:rPr>
  </w:style>
  <w:style w:type="paragraph" w:customStyle="1" w:styleId="690">
    <w:name w:val="基准页眉样式"/>
    <w:basedOn w:val="25"/>
    <w:uiPriority w:val="0"/>
    <w:pPr>
      <w:keepLines/>
      <w:widowControl/>
      <w:tabs>
        <w:tab w:val="center" w:pos="-18551"/>
        <w:tab w:val="right" w:pos="4320"/>
      </w:tabs>
      <w:spacing w:line="240" w:lineRule="atLeast"/>
    </w:pPr>
    <w:rPr>
      <w:rFonts w:ascii="Garamond" w:hAnsi="Garamond"/>
      <w:smallCaps/>
      <w:spacing w:val="15"/>
      <w:kern w:val="0"/>
      <w:sz w:val="21"/>
    </w:rPr>
  </w:style>
  <w:style w:type="paragraph" w:customStyle="1" w:styleId="691">
    <w:name w:val="样式 2 + 黑色"/>
    <w:basedOn w:val="192"/>
    <w:link w:val="692"/>
    <w:uiPriority w:val="0"/>
    <w:rPr>
      <w:rFonts w:ascii="楷体_GB2312"/>
      <w:bCs/>
      <w:color w:val="000000"/>
    </w:rPr>
  </w:style>
  <w:style w:type="character" w:customStyle="1" w:styleId="692">
    <w:name w:val="样式 2 + 黑色 Char"/>
    <w:link w:val="691"/>
    <w:qFormat/>
    <w:uiPriority w:val="0"/>
    <w:rPr>
      <w:rFonts w:ascii="楷体_GB2312" w:hAnsi="楷体_GB2312" w:eastAsia="楷体_GB2312" w:cs="Times New Roman"/>
      <w:b/>
      <w:bCs/>
      <w:color w:val="000000"/>
      <w:kern w:val="44"/>
      <w:sz w:val="30"/>
      <w:szCs w:val="44"/>
    </w:rPr>
  </w:style>
  <w:style w:type="paragraph" w:customStyle="1" w:styleId="693">
    <w:name w:val="样式 4 + (符号) 宋体"/>
    <w:basedOn w:val="193"/>
    <w:link w:val="694"/>
    <w:qFormat/>
    <w:uiPriority w:val="0"/>
    <w:pPr>
      <w:ind w:left="0" w:firstLine="0" w:firstLineChars="0"/>
    </w:pPr>
    <w:rPr>
      <w:rFonts w:ascii="楷体_GB2312"/>
      <w:bCs/>
    </w:rPr>
  </w:style>
  <w:style w:type="character" w:customStyle="1" w:styleId="694">
    <w:name w:val="样式 4 + (符号) 宋体 Char"/>
    <w:link w:val="693"/>
    <w:qFormat/>
    <w:uiPriority w:val="0"/>
    <w:rPr>
      <w:rFonts w:ascii="楷体_GB2312" w:hAnsi="Times New Roman" w:eastAsia="楷体_GB2312" w:cs="Times New Roman"/>
      <w:kern w:val="0"/>
      <w:sz w:val="30"/>
      <w:szCs w:val="30"/>
    </w:rPr>
  </w:style>
  <w:style w:type="paragraph" w:customStyle="1" w:styleId="695">
    <w:name w:val="标题 2WXJ"/>
    <w:basedOn w:val="4"/>
    <w:link w:val="696"/>
    <w:qFormat/>
    <w:uiPriority w:val="0"/>
    <w:pPr>
      <w:keepLines w:val="0"/>
      <w:spacing w:beforeLines="50" w:afterLines="50" w:line="240" w:lineRule="auto"/>
      <w:ind w:left="210" w:leftChars="100" w:firstLine="0" w:firstLineChars="0"/>
    </w:pPr>
    <w:rPr>
      <w:bCs/>
      <w:color w:val="000000"/>
      <w:spacing w:val="0"/>
      <w:kern w:val="2"/>
      <w:lang w:val="de-DE"/>
    </w:rPr>
  </w:style>
  <w:style w:type="character" w:customStyle="1" w:styleId="696">
    <w:name w:val="标题 2WXJ Char Char"/>
    <w:link w:val="695"/>
    <w:qFormat/>
    <w:uiPriority w:val="0"/>
    <w:rPr>
      <w:rFonts w:ascii="Times New Roman" w:hAnsi="Times New Roman" w:eastAsia="楷体_GB2312" w:cs="Times New Roman"/>
      <w:b/>
      <w:bCs/>
      <w:color w:val="000000"/>
      <w:sz w:val="32"/>
      <w:szCs w:val="30"/>
      <w:lang w:val="de-DE"/>
    </w:rPr>
  </w:style>
  <w:style w:type="paragraph" w:customStyle="1" w:styleId="697">
    <w:name w:val="正文文字2"/>
    <w:basedOn w:val="1"/>
    <w:link w:val="698"/>
    <w:qFormat/>
    <w:uiPriority w:val="0"/>
    <w:pPr>
      <w:spacing w:line="360" w:lineRule="auto"/>
      <w:ind w:firstLine="480" w:firstLineChars="200"/>
    </w:pPr>
    <w:rPr>
      <w:rFonts w:ascii="Times New Roman" w:hAnsi="Times New Roman" w:eastAsia="宋体" w:cs="Times New Roman"/>
      <w:sz w:val="24"/>
      <w:szCs w:val="24"/>
    </w:rPr>
  </w:style>
  <w:style w:type="character" w:customStyle="1" w:styleId="698">
    <w:name w:val="正文文字2 Char"/>
    <w:link w:val="697"/>
    <w:qFormat/>
    <w:uiPriority w:val="0"/>
    <w:rPr>
      <w:rFonts w:ascii="Times New Roman" w:hAnsi="Times New Roman" w:eastAsia="宋体" w:cs="Times New Roman"/>
      <w:sz w:val="24"/>
      <w:szCs w:val="24"/>
    </w:rPr>
  </w:style>
  <w:style w:type="paragraph" w:customStyle="1" w:styleId="699">
    <w:name w:val="正文28磅"/>
    <w:link w:val="700"/>
    <w:qFormat/>
    <w:uiPriority w:val="0"/>
    <w:pPr>
      <w:spacing w:line="560" w:lineRule="exact"/>
      <w:ind w:firstLine="560"/>
    </w:pPr>
    <w:rPr>
      <w:rFonts w:ascii="Times New Roman" w:hAnsi="宋体" w:eastAsia="宋体" w:cs="Times New Roman"/>
      <w:bCs/>
      <w:sz w:val="28"/>
      <w:szCs w:val="28"/>
      <w:lang w:val="en-GB" w:eastAsia="zh-CN" w:bidi="ar-SA"/>
    </w:rPr>
  </w:style>
  <w:style w:type="character" w:customStyle="1" w:styleId="700">
    <w:name w:val="正文28磅 Char"/>
    <w:link w:val="699"/>
    <w:qFormat/>
    <w:uiPriority w:val="0"/>
    <w:rPr>
      <w:rFonts w:ascii="Times New Roman" w:hAnsi="宋体" w:eastAsia="宋体" w:cs="Times New Roman"/>
      <w:bCs/>
      <w:kern w:val="0"/>
      <w:sz w:val="28"/>
      <w:szCs w:val="28"/>
      <w:lang w:val="en-GB"/>
    </w:rPr>
  </w:style>
  <w:style w:type="paragraph" w:customStyle="1" w:styleId="701">
    <w:name w:val="Char11"/>
    <w:basedOn w:val="1"/>
    <w:qFormat/>
    <w:uiPriority w:val="0"/>
    <w:rPr>
      <w:rFonts w:ascii="Times New Roman" w:hAnsi="Times New Roman" w:eastAsia="宋体" w:cs="Times New Roman"/>
      <w:szCs w:val="24"/>
    </w:rPr>
  </w:style>
  <w:style w:type="paragraph" w:customStyle="1" w:styleId="702">
    <w:name w:val="页号"/>
    <w:basedOn w:val="41"/>
    <w:qFormat/>
    <w:uiPriority w:val="0"/>
    <w:pPr>
      <w:adjustRightInd w:val="0"/>
      <w:jc w:val="center"/>
      <w:textAlignment w:val="baseline"/>
    </w:pPr>
    <w:rPr>
      <w:rFonts w:ascii="宋体" w:hAnsi="Arial"/>
      <w:spacing w:val="3"/>
      <w:kern w:val="24"/>
      <w:sz w:val="24"/>
      <w:szCs w:val="20"/>
    </w:rPr>
  </w:style>
  <w:style w:type="paragraph" w:customStyle="1" w:styleId="703">
    <w:name w:val="表内字一"/>
    <w:basedOn w:val="1"/>
    <w:qFormat/>
    <w:uiPriority w:val="0"/>
    <w:pPr>
      <w:spacing w:before="80" w:after="80"/>
      <w:jc w:val="center"/>
    </w:pPr>
    <w:rPr>
      <w:rFonts w:ascii="Times New Roman" w:hAnsi="Times New Roman" w:eastAsia="宋体" w:cs="Times New Roman"/>
      <w:color w:val="000000"/>
      <w:szCs w:val="24"/>
    </w:rPr>
  </w:style>
  <w:style w:type="character" w:customStyle="1" w:styleId="704">
    <w:name w:val="标题 2 Char Char Char1"/>
    <w:qFormat/>
    <w:uiPriority w:val="0"/>
    <w:rPr>
      <w:rFonts w:ascii="Arial" w:hAnsi="Arial" w:eastAsia="楷体_GB2312" w:cs="Arial"/>
      <w:b/>
      <w:bCs/>
      <w:color w:val="000000"/>
      <w:kern w:val="2"/>
      <w:sz w:val="30"/>
      <w:szCs w:val="24"/>
      <w:lang w:val="en-US" w:eastAsia="zh-CN" w:bidi="ar-SA"/>
    </w:rPr>
  </w:style>
  <w:style w:type="character" w:customStyle="1" w:styleId="705">
    <w:name w:val="标题 21"/>
    <w:qFormat/>
    <w:uiPriority w:val="0"/>
    <w:rPr>
      <w:rFonts w:eastAsia="宋体"/>
      <w:sz w:val="32"/>
      <w:lang w:val="en-US" w:eastAsia="zh-CN" w:bidi="ar-SA"/>
    </w:rPr>
  </w:style>
  <w:style w:type="paragraph" w:customStyle="1" w:styleId="706">
    <w:name w:val="tgt2"/>
    <w:basedOn w:val="1"/>
    <w:qFormat/>
    <w:uiPriority w:val="0"/>
    <w:pPr>
      <w:widowControl/>
      <w:spacing w:after="100" w:line="360" w:lineRule="auto"/>
      <w:jc w:val="left"/>
    </w:pPr>
    <w:rPr>
      <w:rFonts w:ascii="宋体" w:hAnsi="宋体" w:eastAsia="宋体" w:cs="宋体"/>
      <w:b/>
      <w:bCs/>
      <w:kern w:val="0"/>
      <w:sz w:val="36"/>
      <w:szCs w:val="36"/>
    </w:rPr>
  </w:style>
  <w:style w:type="paragraph" w:customStyle="1" w:styleId="707">
    <w:name w:val="tg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08">
    <w:name w:val="列出段落2"/>
    <w:basedOn w:val="1"/>
    <w:qFormat/>
    <w:uiPriority w:val="0"/>
    <w:pPr>
      <w:ind w:firstLine="420" w:firstLineChars="200"/>
    </w:pPr>
    <w:rPr>
      <w:rFonts w:ascii="Calibri" w:hAnsi="Calibri" w:eastAsia="宋体" w:cs="Times New Roman"/>
    </w:rPr>
  </w:style>
  <w:style w:type="table" w:customStyle="1" w:styleId="709">
    <w:name w:val="网格型1"/>
    <w:basedOn w:val="62"/>
    <w:qFormat/>
    <w:uiPriority w:val="0"/>
    <w:pPr>
      <w:spacing w:line="640"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10">
    <w:name w:val="1 Char Char Char Char Char Char Char Char"/>
    <w:basedOn w:val="1"/>
    <w:qFormat/>
    <w:uiPriority w:val="0"/>
    <w:rPr>
      <w:rFonts w:ascii="Times New Roman" w:hAnsi="Times New Roman" w:eastAsia="宋体" w:cs="Times New Roman"/>
      <w:szCs w:val="24"/>
    </w:rPr>
  </w:style>
  <w:style w:type="paragraph" w:customStyle="1" w:styleId="711">
    <w:name w:val="Bullet 2"/>
    <w:basedOn w:val="1"/>
    <w:next w:val="1"/>
    <w:qFormat/>
    <w:uiPriority w:val="0"/>
    <w:pPr>
      <w:widowControl/>
      <w:numPr>
        <w:ilvl w:val="0"/>
        <w:numId w:val="3"/>
      </w:numPr>
      <w:tabs>
        <w:tab w:val="left" w:pos="1440"/>
      </w:tabs>
      <w:ind w:left="2880"/>
      <w:jc w:val="left"/>
    </w:pPr>
    <w:rPr>
      <w:rFonts w:ascii="Arial" w:hAnsi="Arial" w:eastAsia="宋体" w:cs="Times New Roman"/>
      <w:kern w:val="0"/>
      <w:sz w:val="20"/>
      <w:szCs w:val="20"/>
      <w:lang w:eastAsia="en-US"/>
    </w:rPr>
  </w:style>
  <w:style w:type="paragraph" w:customStyle="1" w:styleId="712">
    <w:name w:val="Bullet 3"/>
    <w:basedOn w:val="1"/>
    <w:next w:val="1"/>
    <w:qFormat/>
    <w:uiPriority w:val="0"/>
    <w:pPr>
      <w:widowControl/>
      <w:numPr>
        <w:ilvl w:val="0"/>
        <w:numId w:val="4"/>
      </w:numPr>
      <w:tabs>
        <w:tab w:val="left" w:pos="1440"/>
      </w:tabs>
      <w:ind w:left="3600"/>
      <w:jc w:val="left"/>
    </w:pPr>
    <w:rPr>
      <w:rFonts w:ascii="Arial" w:hAnsi="Arial" w:eastAsia="宋体" w:cs="Times New Roman"/>
      <w:kern w:val="0"/>
      <w:sz w:val="20"/>
      <w:szCs w:val="20"/>
      <w:lang w:eastAsia="en-US"/>
    </w:rPr>
  </w:style>
  <w:style w:type="paragraph" w:customStyle="1" w:styleId="713">
    <w:name w:val="Bullet 4"/>
    <w:basedOn w:val="1"/>
    <w:next w:val="1"/>
    <w:qFormat/>
    <w:uiPriority w:val="0"/>
    <w:pPr>
      <w:widowControl/>
      <w:numPr>
        <w:ilvl w:val="0"/>
        <w:numId w:val="5"/>
      </w:numPr>
      <w:tabs>
        <w:tab w:val="left" w:pos="1440"/>
      </w:tabs>
      <w:ind w:left="4320"/>
      <w:jc w:val="left"/>
    </w:pPr>
    <w:rPr>
      <w:rFonts w:ascii="Arial" w:hAnsi="Arial" w:eastAsia="宋体" w:cs="Times New Roman"/>
      <w:kern w:val="0"/>
      <w:sz w:val="20"/>
      <w:szCs w:val="20"/>
      <w:lang w:eastAsia="en-US"/>
    </w:rPr>
  </w:style>
  <w:style w:type="paragraph" w:customStyle="1" w:styleId="714">
    <w:name w:val="Bullet 5"/>
    <w:basedOn w:val="1"/>
    <w:next w:val="1"/>
    <w:qFormat/>
    <w:uiPriority w:val="0"/>
    <w:pPr>
      <w:widowControl/>
      <w:numPr>
        <w:ilvl w:val="0"/>
        <w:numId w:val="6"/>
      </w:numPr>
      <w:tabs>
        <w:tab w:val="left" w:pos="1440"/>
      </w:tabs>
      <w:ind w:left="5041"/>
      <w:jc w:val="left"/>
    </w:pPr>
    <w:rPr>
      <w:rFonts w:ascii="Arial" w:hAnsi="Arial" w:eastAsia="宋体" w:cs="Times New Roman"/>
      <w:kern w:val="0"/>
      <w:sz w:val="20"/>
      <w:szCs w:val="20"/>
      <w:lang w:eastAsia="en-US"/>
    </w:rPr>
  </w:style>
  <w:style w:type="paragraph" w:customStyle="1" w:styleId="715">
    <w:name w:val="abc"/>
    <w:basedOn w:val="1"/>
    <w:qFormat/>
    <w:uiPriority w:val="0"/>
    <w:pPr>
      <w:adjustRightInd w:val="0"/>
      <w:snapToGrid w:val="0"/>
      <w:spacing w:line="460" w:lineRule="atLeast"/>
      <w:ind w:firstLine="200" w:firstLineChars="200"/>
    </w:pPr>
    <w:rPr>
      <w:rFonts w:ascii="宋体" w:hAnsi="宋体" w:eastAsia="宋体" w:cs="Times New Roman"/>
      <w:snapToGrid w:val="0"/>
      <w:color w:val="000000"/>
      <w:kern w:val="0"/>
      <w:sz w:val="28"/>
      <w:szCs w:val="28"/>
    </w:rPr>
  </w:style>
  <w:style w:type="character" w:customStyle="1" w:styleId="716">
    <w:name w:val="表格正文 Char"/>
    <w:link w:val="430"/>
    <w:qFormat/>
    <w:uiPriority w:val="0"/>
    <w:rPr>
      <w:rFonts w:ascii="宋体" w:hAnsi="Times New Roman" w:eastAsia="宋体" w:cs="Times New Roman"/>
      <w:szCs w:val="24"/>
      <w:lang w:val="en-GB"/>
    </w:rPr>
  </w:style>
  <w:style w:type="paragraph" w:customStyle="1" w:styleId="717">
    <w:name w:val="正文."/>
    <w:qFormat/>
    <w:uiPriority w:val="0"/>
    <w:pPr>
      <w:widowControl w:val="0"/>
      <w:autoSpaceDE w:val="0"/>
      <w:autoSpaceDN w:val="0"/>
      <w:adjustRightInd w:val="0"/>
      <w:jc w:val="both"/>
    </w:pPr>
    <w:rPr>
      <w:rFonts w:ascii="Times New Roman;Symbol;Arial;婼" w:hAnsi="Times New Roman" w:eastAsia="Times New Roman;Symbol;Arial;婼" w:cs="Times New Roman"/>
      <w:sz w:val="21"/>
      <w:szCs w:val="21"/>
      <w:lang w:val="en-US" w:eastAsia="zh-CN" w:bidi="ar-SA"/>
    </w:rPr>
  </w:style>
  <w:style w:type="paragraph" w:customStyle="1" w:styleId="718">
    <w:name w:val="标题06"/>
    <w:basedOn w:val="1"/>
    <w:qFormat/>
    <w:uiPriority w:val="0"/>
    <w:pPr>
      <w:adjustRightInd w:val="0"/>
      <w:spacing w:before="2040" w:line="400" w:lineRule="atLeast"/>
      <w:textAlignment w:val="baseline"/>
    </w:pPr>
    <w:rPr>
      <w:rFonts w:ascii="Times New Roman" w:hAnsi="Times New Roman" w:eastAsia="黑体" w:cs="Times New Roman"/>
      <w:spacing w:val="10"/>
      <w:kern w:val="0"/>
      <w:sz w:val="28"/>
      <w:szCs w:val="20"/>
    </w:rPr>
  </w:style>
  <w:style w:type="paragraph" w:customStyle="1" w:styleId="719">
    <w:name w:val="页眉页脚"/>
    <w:basedOn w:val="430"/>
    <w:qFormat/>
    <w:uiPriority w:val="0"/>
    <w:pPr>
      <w:adjustRightInd w:val="0"/>
      <w:snapToGrid w:val="0"/>
    </w:pPr>
    <w:rPr>
      <w:sz w:val="18"/>
    </w:rPr>
  </w:style>
  <w:style w:type="paragraph" w:customStyle="1" w:styleId="720">
    <w:name w:val="框图内容"/>
    <w:basedOn w:val="430"/>
    <w:qFormat/>
    <w:uiPriority w:val="0"/>
    <w:pPr>
      <w:adjustRightInd w:val="0"/>
      <w:snapToGrid w:val="0"/>
    </w:pPr>
    <w:rPr>
      <w:rFonts w:ascii="Arial" w:hAnsi="Arial"/>
      <w:szCs w:val="21"/>
    </w:rPr>
  </w:style>
  <w:style w:type="paragraph" w:customStyle="1" w:styleId="721">
    <w:name w:val="标题 5-1"/>
    <w:basedOn w:val="1"/>
    <w:qFormat/>
    <w:uiPriority w:val="0"/>
    <w:pPr>
      <w:spacing w:before="120" w:after="120" w:line="240" w:lineRule="atLeast"/>
      <w:ind w:left="980"/>
    </w:pPr>
    <w:rPr>
      <w:rFonts w:ascii="Times New Roman" w:hAnsi="Times New Roman" w:eastAsia="宋体" w:cs="Times New Roman"/>
      <w:sz w:val="24"/>
      <w:szCs w:val="20"/>
    </w:rPr>
  </w:style>
  <w:style w:type="paragraph" w:customStyle="1" w:styleId="722">
    <w:name w:val="qilu"/>
    <w:basedOn w:val="1"/>
    <w:qFormat/>
    <w:uiPriority w:val="0"/>
    <w:rPr>
      <w:rFonts w:ascii="宋体" w:hAnsi="宋体" w:eastAsia="宋体" w:cs="Times New Roman"/>
      <w:snapToGrid w:val="0"/>
      <w:kern w:val="0"/>
      <w:sz w:val="24"/>
      <w:szCs w:val="24"/>
    </w:rPr>
  </w:style>
  <w:style w:type="paragraph" w:customStyle="1" w:styleId="723">
    <w:name w:val="领结"/>
    <w:basedOn w:val="1"/>
    <w:qFormat/>
    <w:uiPriority w:val="0"/>
    <w:pPr>
      <w:jc w:val="center"/>
    </w:pPr>
    <w:rPr>
      <w:rFonts w:ascii="宋体" w:hAnsi="宋体" w:eastAsia="宋体" w:cs="Times New Roman"/>
      <w:b/>
      <w:szCs w:val="24"/>
    </w:rPr>
  </w:style>
  <w:style w:type="character" w:customStyle="1" w:styleId="724">
    <w:name w:val="标题6"/>
    <w:qFormat/>
    <w:uiPriority w:val="0"/>
    <w:rPr>
      <w:rFonts w:eastAsia="宋体"/>
      <w:kern w:val="2"/>
      <w:sz w:val="21"/>
      <w:szCs w:val="21"/>
      <w:lang w:val="en-US" w:eastAsia="zh-CN" w:bidi="ar-SA"/>
    </w:rPr>
  </w:style>
  <w:style w:type="paragraph" w:customStyle="1" w:styleId="725">
    <w:name w:val="样式 标题 1 + (西文) Arial (中文) 黑体 三号 段后: 2 磅"/>
    <w:basedOn w:val="2"/>
    <w:qFormat/>
    <w:uiPriority w:val="0"/>
    <w:pPr>
      <w:widowControl w:val="0"/>
      <w:numPr>
        <w:ilvl w:val="0"/>
        <w:numId w:val="7"/>
      </w:numPr>
      <w:adjustRightInd w:val="0"/>
      <w:spacing w:before="463" w:afterLines="50"/>
      <w:textAlignment w:val="baseline"/>
    </w:pPr>
    <w:rPr>
      <w:rFonts w:eastAsia="黑体"/>
      <w:b w:val="0"/>
      <w:bCs/>
      <w:szCs w:val="20"/>
    </w:rPr>
  </w:style>
  <w:style w:type="character" w:customStyle="1" w:styleId="726">
    <w:name w:val="样式 标题 3 + (西文) Times New Roman (中文) 宋体 小四 左 段前: 12 磅 段后: 2 ... Char"/>
    <w:link w:val="636"/>
    <w:qFormat/>
    <w:uiPriority w:val="0"/>
    <w:rPr>
      <w:rFonts w:ascii="宋体" w:hAnsi="Times New Roman" w:eastAsia="宋体" w:cs="Times New Roman"/>
      <w:bCs/>
      <w:color w:val="000000"/>
      <w:sz w:val="24"/>
      <w:szCs w:val="24"/>
    </w:rPr>
  </w:style>
  <w:style w:type="paragraph" w:customStyle="1" w:styleId="727">
    <w:name w:val="封面1"/>
    <w:basedOn w:val="1"/>
    <w:qFormat/>
    <w:uiPriority w:val="0"/>
    <w:pPr>
      <w:framePr w:hSpace="180" w:wrap="around" w:vAnchor="text" w:hAnchor="page" w:x="2953" w:y="782"/>
      <w:snapToGrid w:val="0"/>
      <w:spacing w:line="360" w:lineRule="auto"/>
    </w:pPr>
    <w:rPr>
      <w:rFonts w:ascii="楷体_GB2312" w:hAnsi="Times New Roman" w:eastAsia="楷体_GB2312" w:cs="Times New Roman"/>
      <w:snapToGrid w:val="0"/>
      <w:sz w:val="32"/>
      <w:szCs w:val="24"/>
    </w:rPr>
  </w:style>
  <w:style w:type="paragraph" w:customStyle="1" w:styleId="728">
    <w:name w:val="ZhGP_正文 2"/>
    <w:basedOn w:val="1"/>
    <w:qFormat/>
    <w:uiPriority w:val="0"/>
    <w:pPr>
      <w:spacing w:line="360" w:lineRule="auto"/>
      <w:ind w:left="799" w:firstLine="480" w:firstLineChars="200"/>
    </w:pPr>
    <w:rPr>
      <w:rFonts w:ascii="Times New Roman" w:hAnsi="Times New Roman" w:eastAsia="宋体" w:cs="宋体"/>
      <w:color w:val="0000FF"/>
      <w:sz w:val="24"/>
      <w:szCs w:val="20"/>
    </w:rPr>
  </w:style>
  <w:style w:type="paragraph" w:customStyle="1" w:styleId="729">
    <w:name w:val="表格文本"/>
    <w:basedOn w:val="1"/>
    <w:next w:val="1"/>
    <w:qFormat/>
    <w:uiPriority w:val="0"/>
    <w:pPr>
      <w:spacing w:line="240" w:lineRule="exact"/>
    </w:pPr>
    <w:rPr>
      <w:rFonts w:ascii="Times New Roman" w:hAnsi="Times New Roman" w:eastAsia="宋体" w:cs="Times New Roman"/>
      <w:szCs w:val="20"/>
    </w:rPr>
  </w:style>
  <w:style w:type="paragraph" w:customStyle="1" w:styleId="730">
    <w:name w:val="kuangtu"/>
    <w:basedOn w:val="720"/>
    <w:qFormat/>
    <w:uiPriority w:val="0"/>
  </w:style>
  <w:style w:type="paragraph" w:customStyle="1" w:styleId="731">
    <w:name w:val="项目符号"/>
    <w:qFormat/>
    <w:uiPriority w:val="0"/>
    <w:pPr>
      <w:widowControl w:val="0"/>
      <w:tabs>
        <w:tab w:val="left" w:pos="1200"/>
        <w:tab w:val="left" w:pos="4536"/>
      </w:tabs>
      <w:spacing w:line="440" w:lineRule="exact"/>
    </w:pPr>
    <w:rPr>
      <w:rFonts w:ascii="宋体" w:hAnsi="宋体" w:eastAsia="宋体" w:cs="Times New Roman"/>
      <w:kern w:val="2"/>
      <w:sz w:val="24"/>
      <w:lang w:val="en-US" w:eastAsia="zh-CN" w:bidi="ar-SA"/>
    </w:rPr>
  </w:style>
  <w:style w:type="paragraph" w:customStyle="1" w:styleId="732">
    <w:name w:val="!Texte courant"/>
    <w:uiPriority w:val="0"/>
    <w:pPr>
      <w:spacing w:before="120" w:line="280" w:lineRule="atLeast"/>
      <w:jc w:val="both"/>
    </w:pPr>
    <w:rPr>
      <w:rFonts w:ascii="Times New Roman" w:hAnsi="Times New Roman" w:eastAsia="宋体" w:cs="Times New Roman"/>
      <w:sz w:val="24"/>
      <w:lang w:val="fr-FR" w:eastAsia="en-US" w:bidi="ar-SA"/>
    </w:rPr>
  </w:style>
  <w:style w:type="paragraph" w:customStyle="1" w:styleId="733">
    <w:name w:val="页脚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34">
    <w:name w:val="lastfoot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735">
    <w:name w:val="CM1"/>
    <w:basedOn w:val="330"/>
    <w:next w:val="330"/>
    <w:qFormat/>
    <w:uiPriority w:val="0"/>
    <w:pPr>
      <w:spacing w:line="468" w:lineRule="atLeast"/>
    </w:pPr>
    <w:rPr>
      <w:sz w:val="24"/>
      <w:szCs w:val="24"/>
    </w:rPr>
  </w:style>
  <w:style w:type="paragraph" w:customStyle="1" w:styleId="736">
    <w:name w:val="CM38"/>
    <w:basedOn w:val="330"/>
    <w:next w:val="330"/>
    <w:qFormat/>
    <w:uiPriority w:val="0"/>
    <w:pPr>
      <w:spacing w:after="75"/>
    </w:pPr>
    <w:rPr>
      <w:sz w:val="24"/>
      <w:szCs w:val="24"/>
    </w:rPr>
  </w:style>
  <w:style w:type="paragraph" w:customStyle="1" w:styleId="737">
    <w:name w:val="CM40"/>
    <w:basedOn w:val="330"/>
    <w:next w:val="330"/>
    <w:qFormat/>
    <w:uiPriority w:val="0"/>
    <w:pPr>
      <w:spacing w:after="330"/>
    </w:pPr>
    <w:rPr>
      <w:sz w:val="24"/>
      <w:szCs w:val="24"/>
    </w:rPr>
  </w:style>
  <w:style w:type="paragraph" w:customStyle="1" w:styleId="738">
    <w:name w:val="CM4"/>
    <w:basedOn w:val="330"/>
    <w:next w:val="330"/>
    <w:qFormat/>
    <w:uiPriority w:val="0"/>
    <w:pPr>
      <w:spacing w:line="468" w:lineRule="atLeast"/>
    </w:pPr>
    <w:rPr>
      <w:sz w:val="24"/>
      <w:szCs w:val="24"/>
    </w:rPr>
  </w:style>
  <w:style w:type="paragraph" w:customStyle="1" w:styleId="739">
    <w:name w:val="CM5"/>
    <w:basedOn w:val="330"/>
    <w:next w:val="330"/>
    <w:qFormat/>
    <w:uiPriority w:val="0"/>
    <w:pPr>
      <w:spacing w:line="468" w:lineRule="atLeast"/>
    </w:pPr>
    <w:rPr>
      <w:sz w:val="24"/>
      <w:szCs w:val="24"/>
    </w:rPr>
  </w:style>
  <w:style w:type="paragraph" w:customStyle="1" w:styleId="740">
    <w:name w:val="CM41"/>
    <w:basedOn w:val="330"/>
    <w:next w:val="330"/>
    <w:qFormat/>
    <w:uiPriority w:val="0"/>
    <w:pPr>
      <w:spacing w:after="180"/>
    </w:pPr>
    <w:rPr>
      <w:sz w:val="24"/>
      <w:szCs w:val="24"/>
    </w:rPr>
  </w:style>
  <w:style w:type="paragraph" w:customStyle="1" w:styleId="741">
    <w:name w:val="CM43"/>
    <w:basedOn w:val="330"/>
    <w:next w:val="330"/>
    <w:qFormat/>
    <w:uiPriority w:val="0"/>
    <w:pPr>
      <w:spacing w:after="77"/>
    </w:pPr>
    <w:rPr>
      <w:sz w:val="24"/>
      <w:szCs w:val="24"/>
    </w:rPr>
  </w:style>
  <w:style w:type="paragraph" w:customStyle="1" w:styleId="742">
    <w:name w:val="CM7"/>
    <w:basedOn w:val="330"/>
    <w:next w:val="330"/>
    <w:qFormat/>
    <w:uiPriority w:val="0"/>
    <w:pPr>
      <w:spacing w:line="468" w:lineRule="atLeast"/>
    </w:pPr>
    <w:rPr>
      <w:sz w:val="24"/>
      <w:szCs w:val="24"/>
    </w:rPr>
  </w:style>
  <w:style w:type="paragraph" w:customStyle="1" w:styleId="743">
    <w:name w:val="CM8"/>
    <w:basedOn w:val="330"/>
    <w:next w:val="330"/>
    <w:qFormat/>
    <w:uiPriority w:val="0"/>
    <w:pPr>
      <w:spacing w:line="468" w:lineRule="atLeast"/>
    </w:pPr>
    <w:rPr>
      <w:sz w:val="24"/>
      <w:szCs w:val="24"/>
    </w:rPr>
  </w:style>
  <w:style w:type="paragraph" w:customStyle="1" w:styleId="744">
    <w:name w:val="CM42"/>
    <w:basedOn w:val="330"/>
    <w:next w:val="330"/>
    <w:qFormat/>
    <w:uiPriority w:val="0"/>
    <w:pPr>
      <w:spacing w:after="270"/>
    </w:pPr>
    <w:rPr>
      <w:sz w:val="24"/>
      <w:szCs w:val="24"/>
    </w:rPr>
  </w:style>
  <w:style w:type="paragraph" w:customStyle="1" w:styleId="745">
    <w:name w:val="CM11"/>
    <w:basedOn w:val="330"/>
    <w:next w:val="330"/>
    <w:qFormat/>
    <w:uiPriority w:val="0"/>
    <w:pPr>
      <w:spacing w:line="468" w:lineRule="atLeast"/>
    </w:pPr>
    <w:rPr>
      <w:sz w:val="24"/>
      <w:szCs w:val="24"/>
    </w:rPr>
  </w:style>
  <w:style w:type="paragraph" w:customStyle="1" w:styleId="746">
    <w:name w:val="CM14"/>
    <w:basedOn w:val="330"/>
    <w:next w:val="330"/>
    <w:qFormat/>
    <w:uiPriority w:val="0"/>
    <w:pPr>
      <w:spacing w:line="468" w:lineRule="atLeast"/>
    </w:pPr>
    <w:rPr>
      <w:sz w:val="24"/>
      <w:szCs w:val="24"/>
    </w:rPr>
  </w:style>
  <w:style w:type="paragraph" w:customStyle="1" w:styleId="747">
    <w:name w:val="CM39"/>
    <w:basedOn w:val="330"/>
    <w:next w:val="330"/>
    <w:qFormat/>
    <w:uiPriority w:val="0"/>
    <w:pPr>
      <w:spacing w:after="423"/>
    </w:pPr>
    <w:rPr>
      <w:sz w:val="24"/>
      <w:szCs w:val="24"/>
    </w:rPr>
  </w:style>
  <w:style w:type="paragraph" w:customStyle="1" w:styleId="748">
    <w:name w:val="CM18"/>
    <w:basedOn w:val="330"/>
    <w:next w:val="330"/>
    <w:qFormat/>
    <w:uiPriority w:val="0"/>
    <w:pPr>
      <w:spacing w:line="468" w:lineRule="atLeast"/>
    </w:pPr>
    <w:rPr>
      <w:sz w:val="24"/>
      <w:szCs w:val="24"/>
    </w:rPr>
  </w:style>
  <w:style w:type="paragraph" w:customStyle="1" w:styleId="749">
    <w:name w:val="CM31"/>
    <w:basedOn w:val="330"/>
    <w:next w:val="330"/>
    <w:qFormat/>
    <w:uiPriority w:val="0"/>
    <w:pPr>
      <w:spacing w:line="468" w:lineRule="atLeast"/>
    </w:pPr>
    <w:rPr>
      <w:rFonts w:cs="宋体"/>
      <w:sz w:val="24"/>
      <w:szCs w:val="24"/>
    </w:rPr>
  </w:style>
  <w:style w:type="character" w:customStyle="1" w:styleId="750">
    <w:name w:val="zt1"/>
    <w:uiPriority w:val="0"/>
    <w:rPr>
      <w:rFonts w:hint="default" w:ascii="ˎ̥" w:hAnsi="ˎ̥"/>
      <w:color w:val="336666"/>
      <w:sz w:val="18"/>
      <w:szCs w:val="18"/>
      <w:u w:val="none"/>
    </w:rPr>
  </w:style>
  <w:style w:type="paragraph" w:customStyle="1" w:styleId="751">
    <w:name w:val="奉读大示，心折殊深。"/>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52">
    <w:name w:val="表格1"/>
    <w:basedOn w:val="1"/>
    <w:qFormat/>
    <w:uiPriority w:val="0"/>
    <w:pPr>
      <w:adjustRightInd w:val="0"/>
      <w:spacing w:line="300" w:lineRule="auto"/>
      <w:jc w:val="center"/>
      <w:textAlignment w:val="baseline"/>
    </w:pPr>
    <w:rPr>
      <w:rFonts w:ascii="宋体" w:hAnsi="Times New Roman" w:eastAsia="宋体" w:cs="Times New Roman"/>
      <w:kern w:val="0"/>
      <w:sz w:val="24"/>
      <w:szCs w:val="20"/>
    </w:rPr>
  </w:style>
  <w:style w:type="paragraph" w:customStyle="1" w:styleId="753">
    <w:name w:val="Bullet level 1"/>
    <w:basedOn w:val="1"/>
    <w:qFormat/>
    <w:uiPriority w:val="0"/>
    <w:pPr>
      <w:tabs>
        <w:tab w:val="left" w:pos="360"/>
      </w:tabs>
      <w:wordWrap w:val="0"/>
      <w:spacing w:before="120"/>
      <w:ind w:left="360" w:hanging="360"/>
      <w:jc w:val="left"/>
    </w:pPr>
    <w:rPr>
      <w:rFonts w:ascii="Arial" w:hAnsi="Arial" w:eastAsia="宋体" w:cs="Times New Roman"/>
      <w:sz w:val="22"/>
      <w:szCs w:val="20"/>
    </w:rPr>
  </w:style>
  <w:style w:type="paragraph" w:customStyle="1" w:styleId="754">
    <w:name w:val="样式 宋体 小四 加粗"/>
    <w:basedOn w:val="1"/>
    <w:qFormat/>
    <w:uiPriority w:val="0"/>
    <w:pPr>
      <w:spacing w:line="440" w:lineRule="exact"/>
      <w:jc w:val="left"/>
    </w:pPr>
    <w:rPr>
      <w:rFonts w:ascii="宋体" w:hAnsi="宋体" w:eastAsia="宋体" w:cs="Times New Roman"/>
      <w:sz w:val="24"/>
      <w:szCs w:val="24"/>
    </w:rPr>
  </w:style>
  <w:style w:type="paragraph" w:customStyle="1" w:styleId="755">
    <w:name w:val="qm0"/>
    <w:basedOn w:val="1"/>
    <w:uiPriority w:val="0"/>
    <w:pPr>
      <w:autoSpaceDE w:val="0"/>
      <w:autoSpaceDN w:val="0"/>
      <w:adjustRightInd w:val="0"/>
      <w:spacing w:before="600" w:line="520" w:lineRule="atLeast"/>
      <w:jc w:val="center"/>
      <w:textAlignment w:val="baseline"/>
    </w:pPr>
    <w:rPr>
      <w:rFonts w:ascii="Times New Roman" w:hAnsi="Times New Roman" w:eastAsia="黑体" w:cs="Times New Roman"/>
      <w:b/>
      <w:spacing w:val="30"/>
      <w:kern w:val="0"/>
      <w:sz w:val="36"/>
      <w:szCs w:val="20"/>
    </w:rPr>
  </w:style>
  <w:style w:type="paragraph" w:customStyle="1" w:styleId="756">
    <w:name w:val="1 Char Char Char"/>
    <w:basedOn w:val="1"/>
    <w:qFormat/>
    <w:uiPriority w:val="0"/>
    <w:rPr>
      <w:rFonts w:ascii="Times New Roman" w:hAnsi="Times New Roman" w:eastAsia="宋体" w:cs="Times New Roman"/>
      <w:szCs w:val="24"/>
    </w:rPr>
  </w:style>
  <w:style w:type="paragraph" w:customStyle="1" w:styleId="757">
    <w:name w:val="表文"/>
    <w:basedOn w:val="1"/>
    <w:qFormat/>
    <w:uiPriority w:val="0"/>
    <w:pPr>
      <w:widowControl/>
      <w:jc w:val="center"/>
    </w:pPr>
    <w:rPr>
      <w:rFonts w:ascii="Times New Roman" w:hAnsi="Times New Roman" w:eastAsia="宋体" w:cs="Times New Roman"/>
      <w:spacing w:val="2"/>
      <w:kern w:val="0"/>
      <w:szCs w:val="21"/>
    </w:rPr>
  </w:style>
  <w:style w:type="character" w:customStyle="1" w:styleId="758">
    <w:name w:val="标题 2 Char Char Char Char Char"/>
    <w:qFormat/>
    <w:uiPriority w:val="0"/>
    <w:rPr>
      <w:rFonts w:ascii="黑体" w:hAnsi="Arial" w:eastAsia="黑体"/>
      <w:b/>
      <w:bCs/>
      <w:sz w:val="28"/>
      <w:szCs w:val="32"/>
      <w:lang w:val="en-US" w:eastAsia="zh-CN" w:bidi="ar-SA"/>
    </w:rPr>
  </w:style>
  <w:style w:type="paragraph" w:customStyle="1" w:styleId="759">
    <w:name w:val="CM32"/>
    <w:basedOn w:val="1"/>
    <w:next w:val="1"/>
    <w:qFormat/>
    <w:uiPriority w:val="0"/>
    <w:pPr>
      <w:autoSpaceDE w:val="0"/>
      <w:autoSpaceDN w:val="0"/>
      <w:adjustRightInd w:val="0"/>
      <w:spacing w:after="198"/>
      <w:jc w:val="left"/>
    </w:pPr>
    <w:rPr>
      <w:rFonts w:ascii="宋体" w:hAnsi="Times New Roman" w:eastAsia="宋体" w:cs="宋体"/>
      <w:kern w:val="0"/>
      <w:sz w:val="24"/>
      <w:szCs w:val="24"/>
    </w:rPr>
  </w:style>
  <w:style w:type="paragraph" w:customStyle="1" w:styleId="760">
    <w:name w:val="CM10"/>
    <w:basedOn w:val="1"/>
    <w:next w:val="1"/>
    <w:qFormat/>
    <w:uiPriority w:val="0"/>
    <w:pPr>
      <w:autoSpaceDE w:val="0"/>
      <w:autoSpaceDN w:val="0"/>
      <w:adjustRightInd w:val="0"/>
      <w:spacing w:line="468" w:lineRule="atLeast"/>
      <w:jc w:val="left"/>
    </w:pPr>
    <w:rPr>
      <w:rFonts w:ascii="宋体" w:hAnsi="Times New Roman" w:eastAsia="宋体" w:cs="宋体"/>
      <w:kern w:val="0"/>
      <w:sz w:val="24"/>
      <w:szCs w:val="24"/>
    </w:rPr>
  </w:style>
  <w:style w:type="paragraph" w:customStyle="1" w:styleId="761">
    <w:name w:val="1正文段落"/>
    <w:basedOn w:val="1"/>
    <w:qFormat/>
    <w:uiPriority w:val="0"/>
    <w:pPr>
      <w:numPr>
        <w:ilvl w:val="0"/>
        <w:numId w:val="8"/>
      </w:numPr>
      <w:tabs>
        <w:tab w:val="clear" w:pos="1418"/>
      </w:tabs>
      <w:spacing w:line="360" w:lineRule="auto"/>
      <w:ind w:left="0" w:firstLine="480" w:firstLineChars="200"/>
      <w:jc w:val="left"/>
    </w:pPr>
    <w:rPr>
      <w:rFonts w:ascii="Times New Roman" w:hAnsi="Times New Roman" w:eastAsia="宋体" w:cs="Times New Roman"/>
      <w:snapToGrid w:val="0"/>
      <w:kern w:val="0"/>
      <w:sz w:val="24"/>
      <w:szCs w:val="24"/>
    </w:rPr>
  </w:style>
  <w:style w:type="paragraph" w:customStyle="1" w:styleId="762">
    <w:name w:val="ZhGP_标题 1"/>
    <w:basedOn w:val="1"/>
    <w:next w:val="763"/>
    <w:qFormat/>
    <w:uiPriority w:val="0"/>
    <w:pPr>
      <w:keepNext/>
      <w:numPr>
        <w:ilvl w:val="1"/>
        <w:numId w:val="8"/>
      </w:numPr>
      <w:tabs>
        <w:tab w:val="left" w:pos="1418"/>
        <w:tab w:val="clear" w:pos="799"/>
      </w:tabs>
      <w:adjustRightInd w:val="0"/>
      <w:snapToGrid w:val="0"/>
      <w:spacing w:beforeLines="150" w:afterLines="100" w:line="360" w:lineRule="auto"/>
      <w:ind w:left="1418" w:hanging="1130"/>
      <w:jc w:val="center"/>
      <w:textAlignment w:val="baseline"/>
      <w:outlineLvl w:val="0"/>
    </w:pPr>
    <w:rPr>
      <w:rFonts w:ascii="Times New Roman" w:hAnsi="Times New Roman" w:eastAsia="楷体_GB2312" w:cs="Times New Roman"/>
      <w:b/>
      <w:bCs/>
      <w:color w:val="0000FF"/>
      <w:kern w:val="44"/>
      <w:sz w:val="32"/>
      <w:szCs w:val="20"/>
    </w:rPr>
  </w:style>
  <w:style w:type="paragraph" w:customStyle="1" w:styleId="763">
    <w:name w:val="ZhGP_标题 2"/>
    <w:basedOn w:val="1"/>
    <w:next w:val="764"/>
    <w:qFormat/>
    <w:uiPriority w:val="0"/>
    <w:pPr>
      <w:keepNext/>
      <w:numPr>
        <w:ilvl w:val="2"/>
        <w:numId w:val="8"/>
      </w:numPr>
      <w:adjustRightInd w:val="0"/>
      <w:snapToGrid w:val="0"/>
      <w:spacing w:beforeLines="100" w:line="360" w:lineRule="auto"/>
      <w:jc w:val="left"/>
      <w:outlineLvl w:val="1"/>
    </w:pPr>
    <w:rPr>
      <w:rFonts w:ascii="Times New Roman" w:hAnsi="Times New Roman" w:eastAsia="黑体" w:cs="Times New Roman"/>
      <w:b/>
      <w:bCs/>
      <w:color w:val="0000FF"/>
      <w:sz w:val="24"/>
      <w:szCs w:val="24"/>
    </w:rPr>
  </w:style>
  <w:style w:type="paragraph" w:customStyle="1" w:styleId="764">
    <w:name w:val="ZhGP_标题 3"/>
    <w:basedOn w:val="5"/>
    <w:next w:val="1"/>
    <w:qFormat/>
    <w:uiPriority w:val="0"/>
    <w:pPr>
      <w:numPr>
        <w:ilvl w:val="2"/>
        <w:numId w:val="9"/>
      </w:numPr>
      <w:tabs>
        <w:tab w:val="left" w:pos="1260"/>
      </w:tabs>
      <w:jc w:val="left"/>
    </w:pPr>
    <w:rPr>
      <w:rFonts w:eastAsia="宋体" w:cs="宋体"/>
      <w:b w:val="0"/>
      <w:bCs/>
      <w:sz w:val="24"/>
    </w:rPr>
  </w:style>
  <w:style w:type="paragraph" w:customStyle="1" w:styleId="765">
    <w:name w:val="首消息标题"/>
    <w:basedOn w:val="55"/>
    <w:next w:val="55"/>
    <w:qFormat/>
    <w:uiPriority w:val="0"/>
    <w:pPr>
      <w:keepLines/>
      <w:widowControl/>
      <w:pBdr>
        <w:top w:val="none" w:color="auto" w:sz="0" w:space="0"/>
        <w:left w:val="none" w:color="auto" w:sz="0" w:space="0"/>
        <w:bottom w:val="none" w:color="auto" w:sz="0" w:space="0"/>
        <w:right w:val="none" w:color="auto" w:sz="0" w:space="0"/>
      </w:pBdr>
      <w:shd w:val="clear" w:color="auto" w:fill="auto"/>
      <w:spacing w:after="40" w:line="140" w:lineRule="atLeast"/>
      <w:ind w:left="360" w:leftChars="0" w:firstLine="0" w:firstLineChars="0"/>
      <w:jc w:val="left"/>
    </w:pPr>
    <w:rPr>
      <w:rFonts w:ascii="Garamond" w:hAnsi="Garamond"/>
      <w:spacing w:val="-5"/>
      <w:kern w:val="0"/>
      <w:sz w:val="21"/>
      <w:szCs w:val="20"/>
    </w:rPr>
  </w:style>
  <w:style w:type="character" w:customStyle="1" w:styleId="766">
    <w:name w:val="信息标题 字符"/>
    <w:basedOn w:val="65"/>
    <w:link w:val="55"/>
    <w:semiHidden/>
    <w:qFormat/>
    <w:uiPriority w:val="99"/>
    <w:rPr>
      <w:rFonts w:ascii="Cambria" w:hAnsi="Cambria" w:eastAsia="宋体" w:cs="Times New Roman"/>
      <w:sz w:val="24"/>
      <w:szCs w:val="24"/>
      <w:shd w:val="pct20" w:color="auto" w:fill="auto"/>
    </w:rPr>
  </w:style>
  <w:style w:type="paragraph" w:customStyle="1" w:styleId="767">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68">
    <w:name w:val="标题61"/>
    <w:qFormat/>
    <w:uiPriority w:val="0"/>
    <w:rPr>
      <w:rFonts w:eastAsia="宋体"/>
      <w:kern w:val="2"/>
      <w:sz w:val="21"/>
      <w:szCs w:val="21"/>
      <w:lang w:val="en-US" w:eastAsia="zh-CN" w:bidi="ar-SA"/>
    </w:rPr>
  </w:style>
  <w:style w:type="paragraph" w:customStyle="1" w:styleId="769">
    <w:name w:val="已访问的超链接1"/>
    <w:qFormat/>
    <w:uiPriority w:val="99"/>
    <w:pPr>
      <w:widowControl w:val="0"/>
      <w:jc w:val="both"/>
    </w:pPr>
    <w:rPr>
      <w:rFonts w:asciiTheme="minorHAnsi" w:hAnsiTheme="minorHAnsi" w:eastAsiaTheme="minorEastAsia" w:cstheme="minorBidi"/>
      <w:kern w:val="2"/>
      <w:sz w:val="21"/>
      <w:szCs w:val="22"/>
      <w:lang w:val="en-US" w:eastAsia="zh-CN" w:bidi="ar-SA"/>
    </w:rPr>
  </w:style>
  <w:style w:type="paragraph" w:customStyle="1" w:styleId="770">
    <w:name w:val="纯文本1"/>
    <w:basedOn w:val="1"/>
    <w:next w:val="34"/>
    <w:qFormat/>
    <w:uiPriority w:val="0"/>
    <w:rPr>
      <w:rFonts w:ascii="宋体" w:hAnsi="Courier New" w:eastAsia="宋体" w:cs="Courier New"/>
      <w:szCs w:val="21"/>
    </w:rPr>
  </w:style>
  <w:style w:type="character" w:customStyle="1" w:styleId="771">
    <w:name w:val="标题7"/>
    <w:uiPriority w:val="0"/>
    <w:rPr>
      <w:rFonts w:eastAsia="宋体"/>
      <w:kern w:val="2"/>
      <w:sz w:val="21"/>
      <w:szCs w:val="21"/>
      <w:lang w:val="en-US" w:eastAsia="zh-CN" w:bidi="ar-SA"/>
    </w:rPr>
  </w:style>
  <w:style w:type="paragraph" w:customStyle="1" w:styleId="772">
    <w:name w:val="0.0.0"/>
    <w:basedOn w:val="4"/>
    <w:link w:val="773"/>
    <w:qFormat/>
    <w:uiPriority w:val="0"/>
    <w:pPr>
      <w:tabs>
        <w:tab w:val="left" w:pos="525"/>
      </w:tabs>
      <w:adjustRightInd w:val="0"/>
      <w:spacing w:beforeLines="50"/>
      <w:ind w:left="0" w:firstLine="0" w:firstLineChars="0"/>
      <w:outlineLvl w:val="2"/>
    </w:pPr>
    <w:rPr>
      <w:rFonts w:eastAsia="宋体"/>
      <w:color w:val="000000"/>
      <w:spacing w:val="0"/>
      <w:kern w:val="2"/>
      <w:szCs w:val="28"/>
    </w:rPr>
  </w:style>
  <w:style w:type="character" w:customStyle="1" w:styleId="773">
    <w:name w:val="0.0.0 Char"/>
    <w:basedOn w:val="65"/>
    <w:link w:val="772"/>
    <w:qFormat/>
    <w:uiPriority w:val="0"/>
    <w:rPr>
      <w:rFonts w:ascii="Times New Roman" w:hAnsi="Times New Roman" w:eastAsia="宋体" w:cs="Times New Roman"/>
      <w:b/>
      <w:color w:val="000000"/>
      <w:sz w:val="28"/>
      <w:szCs w:val="28"/>
    </w:rPr>
  </w:style>
  <w:style w:type="character" w:customStyle="1" w:styleId="774">
    <w:name w:val="无间隔 字符"/>
    <w:basedOn w:val="65"/>
    <w:link w:val="375"/>
    <w:qFormat/>
    <w:uiPriority w:val="1"/>
    <w:rPr>
      <w:rFonts w:ascii="宋体" w:hAnsi="宋体" w:eastAsia="楷体_GB2312" w:cs="Times New Roman"/>
      <w:b/>
      <w:sz w:val="24"/>
      <w:szCs w:val="24"/>
    </w:rPr>
  </w:style>
  <w:style w:type="character" w:customStyle="1" w:styleId="775">
    <w:name w:val="fontstyle01"/>
    <w:basedOn w:val="65"/>
    <w:qFormat/>
    <w:uiPriority w:val="0"/>
    <w:rPr>
      <w:rFonts w:hint="eastAsia" w:ascii="仿宋_GB2312" w:eastAsia="仿宋_GB2312"/>
      <w:color w:val="000000"/>
      <w:sz w:val="28"/>
      <w:szCs w:val="28"/>
    </w:rPr>
  </w:style>
  <w:style w:type="character" w:customStyle="1" w:styleId="776">
    <w:name w:val="fontstyle21"/>
    <w:basedOn w:val="65"/>
    <w:qFormat/>
    <w:uiPriority w:val="0"/>
    <w:rPr>
      <w:rFonts w:hint="default" w:ascii="TimesNewRomanPSMT" w:hAnsi="TimesNewRomanPSMT"/>
      <w:color w:val="000000"/>
      <w:sz w:val="32"/>
      <w:szCs w:val="32"/>
    </w:rPr>
  </w:style>
  <w:style w:type="character" w:customStyle="1" w:styleId="777">
    <w:name w:val="fontstyle11"/>
    <w:basedOn w:val="65"/>
    <w:qFormat/>
    <w:uiPriority w:val="0"/>
    <w:rPr>
      <w:rFonts w:hint="default" w:ascii="TimesNewRomanPSMT" w:hAnsi="TimesNewRomanPSMT"/>
      <w:color w:val="000000"/>
      <w:sz w:val="32"/>
      <w:szCs w:val="32"/>
    </w:rPr>
  </w:style>
  <w:style w:type="character" w:customStyle="1" w:styleId="778">
    <w:name w:val="fontstyle31"/>
    <w:basedOn w:val="65"/>
    <w:qFormat/>
    <w:uiPriority w:val="0"/>
    <w:rPr>
      <w:rFonts w:hint="default" w:ascii="TT44o02" w:hAnsi="TT44o02"/>
      <w:color w:val="000000"/>
      <w:sz w:val="32"/>
      <w:szCs w:val="32"/>
    </w:rPr>
  </w:style>
  <w:style w:type="character" w:customStyle="1" w:styleId="779">
    <w:name w:val="fontstyle41"/>
    <w:basedOn w:val="65"/>
    <w:qFormat/>
    <w:uiPriority w:val="0"/>
    <w:rPr>
      <w:rFonts w:hint="default" w:ascii="TT44o04" w:hAnsi="TT44o04"/>
      <w:color w:val="000000"/>
      <w:sz w:val="32"/>
      <w:szCs w:val="32"/>
    </w:rPr>
  </w:style>
  <w:style w:type="character" w:customStyle="1" w:styleId="780">
    <w:name w:val="fontstyle51"/>
    <w:basedOn w:val="65"/>
    <w:qFormat/>
    <w:uiPriority w:val="0"/>
    <w:rPr>
      <w:rFonts w:hint="default" w:ascii="TimesNewRoman" w:hAnsi="TimesNewRoman"/>
      <w:color w:val="000000"/>
      <w:sz w:val="18"/>
      <w:szCs w:val="18"/>
    </w:rPr>
  </w:style>
  <w:style w:type="paragraph" w:customStyle="1" w:styleId="781">
    <w:name w:val="【正文】"/>
    <w:basedOn w:val="1"/>
    <w:link w:val="782"/>
    <w:qFormat/>
    <w:uiPriority w:val="0"/>
    <w:pPr>
      <w:spacing w:line="360" w:lineRule="auto"/>
      <w:ind w:firstLine="200" w:firstLineChars="200"/>
      <w:textAlignment w:val="baseline"/>
    </w:pPr>
    <w:rPr>
      <w:rFonts w:ascii="Times New Roman" w:hAnsi="Times New Roman" w:eastAsia="仿宋" w:cs="Arial"/>
      <w:color w:val="000000" w:themeColor="text1"/>
      <w:kern w:val="0"/>
      <w:sz w:val="28"/>
      <w:szCs w:val="28"/>
    </w:rPr>
  </w:style>
  <w:style w:type="character" w:customStyle="1" w:styleId="782">
    <w:name w:val="【正文】 字符"/>
    <w:basedOn w:val="65"/>
    <w:link w:val="781"/>
    <w:qFormat/>
    <w:uiPriority w:val="0"/>
    <w:rPr>
      <w:rFonts w:ascii="Times New Roman" w:hAnsi="Times New Roman" w:eastAsia="仿宋" w:cs="Arial"/>
      <w:color w:val="000000" w:themeColor="text1"/>
      <w:sz w:val="28"/>
      <w:szCs w:val="28"/>
    </w:rPr>
  </w:style>
  <w:style w:type="paragraph" w:customStyle="1" w:styleId="783">
    <w:name w:val="【表头】"/>
    <w:basedOn w:val="781"/>
    <w:link w:val="784"/>
    <w:qFormat/>
    <w:uiPriority w:val="0"/>
    <w:pPr>
      <w:ind w:firstLine="0" w:firstLineChars="0"/>
      <w:jc w:val="center"/>
    </w:pPr>
    <w:rPr>
      <w:b/>
      <w:sz w:val="24"/>
    </w:rPr>
  </w:style>
  <w:style w:type="character" w:customStyle="1" w:styleId="784">
    <w:name w:val="【表头】 字符"/>
    <w:basedOn w:val="782"/>
    <w:link w:val="783"/>
    <w:qFormat/>
    <w:uiPriority w:val="0"/>
    <w:rPr>
      <w:rFonts w:ascii="Times New Roman" w:hAnsi="Times New Roman" w:eastAsia="仿宋" w:cs="Arial"/>
      <w:b/>
      <w:color w:val="000000" w:themeColor="text1"/>
      <w:sz w:val="24"/>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70544A-FF1B-4B9D-A225-948B6E9F2CE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68</Pages>
  <Words>34599</Words>
  <Characters>36301</Characters>
  <Lines>284</Lines>
  <Paragraphs>79</Paragraphs>
  <TotalTime>555</TotalTime>
  <ScaleCrop>false</ScaleCrop>
  <LinksUpToDate>false</LinksUpToDate>
  <CharactersWithSpaces>36569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2019-09-23T08:17:00Z</dcterms:created>
  <dc:creator>110025</dc:creator>
  <cp:lastModifiedBy>甜蜜的微笑</cp:lastModifiedBy>
  <cp:lastPrinted>2019-09-19T09:07:00Z</cp:lastPrinted>
  <dcterms:modified xsi:type="dcterms:W3CDTF">2026-06-30T03:07:02Z</dcterms:modified>
  <cp:revision>454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DEB605A903BA46A6809867C7C977170B_12</vt:lpwstr>
  </property>
  <property fmtid="{D5CDD505-2E9C-101B-9397-08002B2CF9AE}" pid="4" name="KSOTemplateDocerSaveRecord">
    <vt:lpwstr>eyJoZGlkIjoiYWM3N2VmODg4MjZhZDk2YzkzY2Q2MDhmMGI5YzBiYzUiLCJ1c2VySWQiOiIzMTg1NTAxNTAifQ==</vt:lpwstr>
  </property>
</Properties>
</file>