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山西省油气管道建设和保护事故分级</w:t>
      </w:r>
    </w:p>
    <w:tbl>
      <w:tblPr>
        <w:tblStyle w:val="4"/>
        <w:tblW w:w="9585" w:type="dxa"/>
        <w:tblInd w:w="-31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2272"/>
        <w:gridCol w:w="2272"/>
        <w:gridCol w:w="256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特别重大事故</w:t>
            </w:r>
          </w:p>
        </w:tc>
        <w:tc>
          <w:tcPr>
            <w:tcW w:w="2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重大事故</w:t>
            </w:r>
          </w:p>
        </w:tc>
        <w:tc>
          <w:tcPr>
            <w:tcW w:w="2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较大事故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  <w:t>一般事故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指造成30人以上死亡，或者100人以上重伤，或者1亿元以上直接经济损失的事故。</w:t>
            </w:r>
          </w:p>
        </w:tc>
        <w:tc>
          <w:tcPr>
            <w:tcW w:w="2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指造成10人以上30人以下死亡，或者50人以上100人以下重伤，或者5000万元以上1亿元以下直接经济损失的事故。</w:t>
            </w:r>
          </w:p>
        </w:tc>
        <w:tc>
          <w:tcPr>
            <w:tcW w:w="2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指造成3人以上10人以下死亡，或者　10　以上　50人以下重伤，或者1000万元以上5000万元以下直接经济损失的事故。</w:t>
            </w:r>
          </w:p>
        </w:tc>
        <w:tc>
          <w:tcPr>
            <w:tcW w:w="2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both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指造成3人以下死亡，或者10人以下重伤，或者1000万元以下直接经济损失的事故。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上述所称“以上”包括本数、“以下”不包括本数。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584E"/>
    <w:rsid w:val="3FFF584E"/>
    <w:rsid w:val="67FB01B8"/>
    <w:rsid w:val="6B9FB5D5"/>
    <w:rsid w:val="6FFEAF10"/>
    <w:rsid w:val="7FAB87DD"/>
    <w:rsid w:val="CDC7203E"/>
    <w:rsid w:val="FAEB9A10"/>
    <w:rsid w:val="FF3E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1"/>
    <w:qFormat/>
    <w:uiPriority w:val="0"/>
    <w:rPr>
      <w:rFonts w:eastAsia="楷体"/>
      <w:kern w:val="0"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2025-08-02T00:52:00Z</dcterms:created>
  <dc:creator>baixin</dc:creator>
  <cp:lastModifiedBy>baixin</cp:lastModifiedBy>
  <dcterms:modified xsi:type="dcterms:W3CDTF">2025-08-01T17:04:38Z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18DCB783FD83232D68808C681352334C</vt:lpwstr>
  </property>
</Properties>
</file>